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430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43052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12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Bisaro Paul</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440 ROUTE 22 EAST,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Keenova Therapeutics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NONE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600" w:hanging="5"/>
        <w:spacing w:after="0" w:line="265"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180" w:space="720"/>
            <w:col w:w="3115" w:space="720"/>
            <w:col w:w="3345"/>
          </w:cols>
          <w:pgMar w:left="460" w:top="216" w:right="359" w:bottom="1121"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BRIDGEWATER NJ</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08807</w:t>
            </w:r>
          </w:p>
        </w:tc>
      </w:tr>
      <w:tr>
        <w:trPr>
          <w:trHeight w:val="151"/>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140"/>
            <w:col w:w="7180"/>
          </w:cols>
          <w:pgMar w:left="460" w:top="216" w:right="359" w:bottom="112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Pr>
          <w:p>
            <w:pPr>
              <w:spacing w:after="0"/>
              <w:rPr>
                <w:sz w:val="22"/>
                <w:szCs w:val="22"/>
                <w:color w:val="auto"/>
              </w:rPr>
            </w:pPr>
          </w:p>
        </w:tc>
        <w:tc>
          <w:tcPr>
            <w:tcW w:w="172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06/02/2026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2,685</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6,863</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Pr>
          <w:p>
            <w:pPr>
              <w:spacing w:after="0"/>
              <w:rPr>
                <w:sz w:val="22"/>
                <w:szCs w:val="22"/>
                <w:color w:val="auto"/>
              </w:rPr>
            </w:pPr>
          </w:p>
        </w:tc>
        <w:tc>
          <w:tcPr>
            <w:tcW w:w="172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06/02/2026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Pr>
          <w:p>
            <w:pPr>
              <w:spacing w:after="0"/>
              <w:rPr>
                <w:sz w:val="22"/>
                <w:szCs w:val="22"/>
                <w:color w:val="auto"/>
              </w:rPr>
            </w:pP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619</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Pr>
          <w:p>
            <w:pPr>
              <w:spacing w:after="0"/>
              <w:rPr>
                <w:sz w:val="22"/>
                <w:szCs w:val="22"/>
                <w:color w:val="auto"/>
              </w:rPr>
            </w:pPr>
          </w:p>
        </w:tc>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6,244</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jc w:val="right"/>
              <w:ind w:right="1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2,197</w:t>
            </w:r>
          </w:p>
        </w:tc>
        <w:tc>
          <w:tcPr>
            <w:tcW w:w="40" w:type="dxa"/>
            <w:vAlign w:val="bottom"/>
          </w:tcPr>
          <w:p>
            <w:pPr>
              <w:spacing w:after="0"/>
              <w:rPr>
                <w:sz w:val="15"/>
                <w:szCs w:val="15"/>
                <w:color w:val="auto"/>
              </w:rPr>
            </w:pPr>
          </w:p>
        </w:tc>
        <w:tc>
          <w:tcPr>
            <w:tcW w:w="72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1"/>
                <w:szCs w:val="11"/>
                <w:color w:val="008000"/>
              </w:rPr>
              <w:t>(5)</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195"/>
              <w:spacing w:after="0" w:line="143" w:lineRule="exact"/>
              <w:rPr>
                <w:sz w:val="20"/>
                <w:szCs w:val="20"/>
                <w:color w:val="auto"/>
              </w:rPr>
            </w:pPr>
            <w:r>
              <w:rPr>
                <w:rFonts w:ascii="Times New Roman" w:cs="Times New Roman" w:eastAsia="Times New Roman" w:hAnsi="Times New Roman"/>
                <w:sz w:val="13"/>
                <w:szCs w:val="13"/>
                <w:color w:val="0000FF"/>
              </w:rPr>
              <w:t>06/02/2026</w:t>
            </w:r>
          </w:p>
        </w:tc>
        <w:tc>
          <w:tcPr>
            <w:tcW w:w="1080" w:type="dxa"/>
            <w:vAlign w:val="bottom"/>
          </w:tcPr>
          <w:p>
            <w:pPr>
              <w:spacing w:after="0"/>
              <w:rPr>
                <w:sz w:val="5"/>
                <w:szCs w:val="5"/>
                <w:color w:val="auto"/>
              </w:rPr>
            </w:pPr>
          </w:p>
        </w:tc>
        <w:tc>
          <w:tcPr>
            <w:tcW w:w="64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2,197</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w w:val="94"/>
              </w:rPr>
              <w:t>45,028</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2,685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195"/>
              <w:spacing w:after="0" w:line="143" w:lineRule="exact"/>
              <w:rPr>
                <w:sz w:val="20"/>
                <w:szCs w:val="20"/>
                <w:color w:val="auto"/>
              </w:rPr>
            </w:pPr>
            <w:r>
              <w:rPr>
                <w:rFonts w:ascii="Times New Roman" w:cs="Times New Roman" w:eastAsia="Times New Roman" w:hAnsi="Times New Roman"/>
                <w:sz w:val="13"/>
                <w:szCs w:val="13"/>
                <w:color w:val="0000FF"/>
              </w:rPr>
              <w:t>06/02/2026</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2,685</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jc w:val="center"/>
              <w:ind w:right="181"/>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60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w w:val="94"/>
              </w:rPr>
              <w:t>42,343</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-2466340</wp:posOffset>
            </wp:positionV>
            <wp:extent cx="29210" cy="2471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714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that was settled, was settled in ordinary shares of the Issuer at one share per RSU.</w:t>
      </w:r>
    </w:p>
    <w:p>
      <w:pPr>
        <w:spacing w:after="0" w:line="4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ordinary shares withheld to satisfy tax withholding obligations arising out the vesting of RSUs is based on a percentage and did not take into account any market value as the Issuer's ordinary shares are not listed or quoted on a recognized trading market.</w:t>
      </w:r>
    </w:p>
    <w:p>
      <w:pPr>
        <w:spacing w:after="0" w:line="15" w:lineRule="exact"/>
        <w:rPr>
          <w:rFonts w:ascii="Times New Roman" w:cs="Times New Roman" w:eastAsia="Times New Roman" w:hAnsi="Times New Roman"/>
          <w:sz w:val="13"/>
          <w:szCs w:val="13"/>
          <w:color w:val="008000"/>
        </w:rPr>
      </w:pPr>
    </w:p>
    <w:p>
      <w:pPr>
        <w:ind w:left="40" w:right="1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entered into an agreement with the Issuer pursuant to which the Reporting Person forfeited the right to receive 2,197 RSUs that would otherwise have vested in exchange for a payment from the Issuer to facilitate the Reporting Person's ability to satisfy certain tax obligations related to the RSUs scheduled to vest.</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which were granted on August 14, 2025, vest on the earlier of (i) the first anniversary of the grant date and (ii) the date of the Issuer's next annual general meeting of shareholders.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RSUs forfeited is based on a percentage.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This Form 4 constitutes a notice to the Issuer for purposes of Part V of the Companies Act 2014.</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Mark Tyndall,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06/04/2026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1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7253" TargetMode="External"/><Relationship Id="rId14" Type="http://schemas.openxmlformats.org/officeDocument/2006/relationships/hyperlink" Target="http://www.sec.gov/cgi-bin/browse-edgar?action=getcompany&amp;CIK=00015678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2026-06-04T15:19:21Z</dcterms:created>
  <dcterms:modified xsi:type="dcterms:W3CDTF">2026-06-04T15:19:21Z</dcterms:modified>
</cp:coreProperties>
</file>