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5"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6"/>
          <w:szCs w:val="16"/>
          <w:b w:val="1"/>
          <w:bCs w:val="1"/>
          <w:color w:val="auto"/>
        </w:rPr>
        <w:t>Washington, DC 20549</w:t>
      </w:r>
    </w:p>
    <w:p>
      <w:pPr>
        <w:spacing w:after="0" w:line="168"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SCHEDULE 14A</w:t>
      </w:r>
    </w:p>
    <w:p>
      <w:pPr>
        <w:spacing w:after="0" w:line="195"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Securities Exchange Act of 1934</w:t>
      </w:r>
    </w:p>
    <w:p>
      <w:pPr>
        <w:spacing w:after="0" w:line="19" w:lineRule="exact"/>
        <w:rPr>
          <w:sz w:val="24"/>
          <w:szCs w:val="24"/>
          <w:color w:val="auto"/>
        </w:rPr>
      </w:pPr>
    </w:p>
    <w:p>
      <w:pPr>
        <w:jc w:val="center"/>
        <w:ind w:right="-619"/>
        <w:spacing w:after="0"/>
        <w:rPr>
          <w:sz w:val="20"/>
          <w:szCs w:val="20"/>
          <w:color w:val="auto"/>
        </w:rPr>
      </w:pPr>
      <w:r>
        <w:rPr>
          <w:rFonts w:ascii="Arial" w:cs="Arial" w:eastAsia="Arial" w:hAnsi="Arial"/>
          <w:sz w:val="16"/>
          <w:szCs w:val="16"/>
          <w:b w:val="1"/>
          <w:bCs w:val="1"/>
          <w:color w:val="auto"/>
        </w:rPr>
        <w:t>(Amendment No.      )</w:t>
      </w:r>
    </w:p>
    <w:p>
      <w:pPr>
        <w:spacing w:after="0" w:line="169" w:lineRule="exact"/>
        <w:rPr>
          <w:sz w:val="24"/>
          <w:szCs w:val="24"/>
          <w:color w:val="auto"/>
        </w:rPr>
      </w:pPr>
    </w:p>
    <w:p>
      <w:pPr>
        <w:ind w:left="680"/>
        <w:spacing w:after="0" w:line="184" w:lineRule="exact"/>
        <w:tabs>
          <w:tab w:leader="none" w:pos="2380" w:val="left"/>
          <w:tab w:leader="none" w:pos="3460" w:val="left"/>
          <w:tab w:leader="none" w:pos="1004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 ​ Filed by a Party other than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w:t>
      </w:r>
    </w:p>
    <w:p>
      <w:pPr>
        <w:spacing w:after="0" w:line="365"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Check the appropriate box:</w:t>
      </w:r>
    </w:p>
    <w:p>
      <w:pPr>
        <w:spacing w:after="0" w:line="194" w:lineRule="exact"/>
        <w:rPr>
          <w:sz w:val="24"/>
          <w:szCs w:val="24"/>
          <w:color w:val="auto"/>
        </w:rPr>
      </w:pPr>
    </w:p>
    <w:p>
      <w:pPr>
        <w:ind w:left="1040" w:hanging="368"/>
        <w:spacing w:after="0"/>
        <w:tabs>
          <w:tab w:leader="none" w:pos="10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94" w:lineRule="exact"/>
        <w:rPr>
          <w:rFonts w:ascii="MS PGothic" w:cs="MS PGothic" w:eastAsia="MS PGothic" w:hAnsi="MS PGothic"/>
          <w:sz w:val="16"/>
          <w:szCs w:val="16"/>
          <w:color w:val="auto"/>
        </w:rPr>
      </w:pPr>
    </w:p>
    <w:p>
      <w:pPr>
        <w:ind w:left="1040" w:hanging="368"/>
        <w:spacing w:after="0"/>
        <w:tabs>
          <w:tab w:leader="none" w:pos="10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94" w:lineRule="exact"/>
        <w:rPr>
          <w:sz w:val="24"/>
          <w:szCs w:val="24"/>
          <w:color w:val="auto"/>
        </w:rPr>
      </w:pPr>
    </w:p>
    <w:p>
      <w:pPr>
        <w:ind w:left="1040" w:hanging="368"/>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94" w:lineRule="exact"/>
        <w:rPr>
          <w:sz w:val="24"/>
          <w:szCs w:val="24"/>
          <w:color w:val="auto"/>
        </w:rPr>
      </w:pPr>
    </w:p>
    <w:p>
      <w:pPr>
        <w:ind w:left="1040" w:hanging="368"/>
        <w:spacing w:after="0"/>
        <w:tabs>
          <w:tab w:leader="none" w:pos="10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4" w:lineRule="exact"/>
        <w:rPr>
          <w:rFonts w:ascii="MS PGothic" w:cs="MS PGothic" w:eastAsia="MS PGothic" w:hAnsi="MS PGothic"/>
          <w:sz w:val="16"/>
          <w:szCs w:val="16"/>
          <w:color w:val="auto"/>
        </w:rPr>
      </w:pPr>
    </w:p>
    <w:p>
      <w:pPr>
        <w:ind w:left="1040" w:hanging="368"/>
        <w:spacing w:after="0"/>
        <w:tabs>
          <w:tab w:leader="none" w:pos="10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64"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KEENOVA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422910</wp:posOffset>
            </wp:positionH>
            <wp:positionV relativeFrom="paragraph">
              <wp:posOffset>25400</wp:posOffset>
            </wp:positionV>
            <wp:extent cx="5966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14"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422910</wp:posOffset>
            </wp:positionH>
            <wp:positionV relativeFrom="paragraph">
              <wp:posOffset>286385</wp:posOffset>
            </wp:positionV>
            <wp:extent cx="5966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26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Payment of Filing Fee (Check the appropriate box):</w:t>
      </w:r>
    </w:p>
    <w:p>
      <w:pPr>
        <w:spacing w:after="0" w:line="194" w:lineRule="exact"/>
        <w:rPr>
          <w:sz w:val="24"/>
          <w:szCs w:val="24"/>
          <w:color w:val="auto"/>
        </w:rPr>
      </w:pPr>
    </w:p>
    <w:p>
      <w:pPr>
        <w:ind w:left="1040" w:hanging="368"/>
        <w:spacing w:after="0"/>
        <w:tabs>
          <w:tab w:leader="none" w:pos="10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4" w:lineRule="exact"/>
        <w:rPr>
          <w:sz w:val="24"/>
          <w:szCs w:val="24"/>
          <w:color w:val="auto"/>
        </w:rPr>
      </w:pPr>
    </w:p>
    <w:p>
      <w:pPr>
        <w:ind w:left="1040" w:hanging="368"/>
        <w:spacing w:after="0"/>
        <w:tabs>
          <w:tab w:leader="none" w:pos="10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1040" w:hanging="368"/>
        <w:spacing w:after="0"/>
        <w:tabs>
          <w:tab w:leader="none" w:pos="10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3248660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205" w:right="119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920" w:type="dxa"/>
        <w:tblCellMar>
          <w:top w:w="0" w:type="dxa"/>
          <w:left w:w="0" w:type="dxa"/>
          <w:bottom w:w="0" w:type="dxa"/>
          <w:right w:w="0" w:type="dxa"/>
        </w:tblCellMar>
      </w:tblPr>
      <w:tr>
        <w:trPr>
          <w:trHeight w:val="989"/>
        </w:trPr>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50"/>
                <w:szCs w:val="50"/>
                <w:color w:val="auto"/>
              </w:rPr>
              <w:t>​</w:t>
            </w:r>
            <w:r>
              <w:rPr>
                <w:rFonts w:ascii="Arial" w:cs="Arial" w:eastAsia="Arial" w:hAnsi="Arial"/>
                <w:sz w:val="86"/>
                <w:szCs w:val="86"/>
                <w:b w:val="1"/>
                <w:bCs w:val="1"/>
                <w:color w:val="4CA87C"/>
              </w:rPr>
              <w:t>2026</w:t>
            </w:r>
            <w:r>
              <w:rPr>
                <w:rFonts w:ascii="Arial" w:cs="Arial" w:eastAsia="Arial" w:hAnsi="Arial"/>
                <w:sz w:val="16"/>
                <w:szCs w:val="16"/>
                <w:color w:val="auto"/>
              </w:rPr>
              <w:t>​</w:t>
            </w:r>
            <w:r>
              <w:rPr>
                <w:rFonts w:ascii="Arial" w:cs="Arial" w:eastAsia="Arial" w:hAnsi="Arial"/>
                <w:sz w:val="50"/>
                <w:szCs w:val="50"/>
                <w:color w:val="auto"/>
              </w:rPr>
              <w:t>​</w:t>
            </w:r>
          </w:p>
        </w:tc>
        <w:tc>
          <w:tcPr>
            <w:tcW w:w="4460" w:type="dxa"/>
            <w:vAlign w:val="bottom"/>
          </w:tcPr>
          <w:p>
            <w:pPr>
              <w:ind w:left="300"/>
              <w:spacing w:after="0"/>
              <w:rPr>
                <w:sz w:val="20"/>
                <w:szCs w:val="20"/>
                <w:color w:val="auto"/>
              </w:rPr>
            </w:pPr>
            <w:r>
              <w:rPr>
                <w:rFonts w:ascii="Arial" w:cs="Arial" w:eastAsia="Arial" w:hAnsi="Arial"/>
                <w:sz w:val="50"/>
                <w:szCs w:val="50"/>
                <w:color w:val="auto"/>
              </w:rPr>
              <w:t>Notice of Annual</w:t>
            </w:r>
          </w:p>
        </w:tc>
        <w:tc>
          <w:tcPr>
            <w:tcW w:w="360" w:type="dxa"/>
            <w:vAlign w:val="bottom"/>
            <w:vMerge w:val="restart"/>
          </w:tcPr>
          <w:p>
            <w:pPr>
              <w:ind w:left="220"/>
              <w:spacing w:after="0"/>
              <w:rPr>
                <w:sz w:val="20"/>
                <w:szCs w:val="20"/>
                <w:color w:val="auto"/>
              </w:rPr>
            </w:pPr>
            <w:r>
              <w:rPr>
                <w:rFonts w:ascii="Arial" w:cs="Arial" w:eastAsia="Arial" w:hAnsi="Arial"/>
                <w:sz w:val="50"/>
                <w:szCs w:val="50"/>
                <w:color w:val="auto"/>
              </w:rPr>
              <w:t>​</w:t>
            </w:r>
          </w:p>
        </w:tc>
        <w:tc>
          <w:tcPr>
            <w:tcW w:w="0" w:type="dxa"/>
            <w:vAlign w:val="bottom"/>
          </w:tcPr>
          <w:p>
            <w:pPr>
              <w:spacing w:after="0"/>
              <w:rPr>
                <w:sz w:val="1"/>
                <w:szCs w:val="1"/>
                <w:color w:val="auto"/>
              </w:rPr>
            </w:pPr>
          </w:p>
        </w:tc>
      </w:tr>
      <w:tr>
        <w:trPr>
          <w:trHeight w:val="0"/>
        </w:trPr>
        <w:tc>
          <w:tcPr>
            <w:tcW w:w="2220" w:type="dxa"/>
            <w:vAlign w:val="bottom"/>
            <w:tcBorders>
              <w:right w:val="single" w:sz="8" w:color="auto"/>
            </w:tcBorders>
            <w:vMerge w:val="continue"/>
          </w:tcPr>
          <w:p>
            <w:pPr>
              <w:spacing w:after="0" w:line="20" w:lineRule="exact"/>
              <w:rPr>
                <w:sz w:val="1"/>
                <w:szCs w:val="1"/>
                <w:color w:val="auto"/>
              </w:rPr>
            </w:pPr>
          </w:p>
        </w:tc>
        <w:tc>
          <w:tcPr>
            <w:tcW w:w="4460" w:type="dxa"/>
            <w:vAlign w:val="bottom"/>
          </w:tcPr>
          <w:p>
            <w:pPr>
              <w:spacing w:after="0" w:line="1" w:lineRule="exact"/>
              <w:rPr>
                <w:sz w:val="20"/>
                <w:szCs w:val="20"/>
                <w:color w:val="auto"/>
              </w:rPr>
            </w:pPr>
            <w:r>
              <w:rPr>
                <w:rFonts w:ascii="Arial" w:cs="Arial" w:eastAsia="Arial" w:hAnsi="Arial"/>
                <w:sz w:val="1"/>
                <w:szCs w:val="1"/>
                <w:color w:val="auto"/>
                <w:vertAlign w:val="superscript"/>
              </w:rPr>
              <w:t>​</w:t>
            </w:r>
            <w:r>
              <w:rPr>
                <w:rFonts w:ascii="Arial" w:cs="Arial" w:eastAsia="Arial" w:hAnsi="Arial"/>
                <w:sz w:val="1"/>
                <w:szCs w:val="1"/>
                <w:color w:val="auto"/>
              </w:rPr>
              <w:t xml:space="preserve"> Shareholders and</w:t>
            </w: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2220" w:type="dxa"/>
            <w:vAlign w:val="bottom"/>
            <w:tcBorders>
              <w:right w:val="single" w:sz="8" w:color="auto"/>
            </w:tcBorders>
          </w:tcPr>
          <w:p>
            <w:pPr>
              <w:spacing w:after="0"/>
              <w:rPr>
                <w:sz w:val="24"/>
                <w:szCs w:val="24"/>
                <w:color w:val="auto"/>
              </w:rPr>
            </w:pPr>
          </w:p>
        </w:tc>
        <w:tc>
          <w:tcPr>
            <w:tcW w:w="4820" w:type="dxa"/>
            <w:vAlign w:val="bottom"/>
            <w:gridSpan w:val="2"/>
          </w:tcPr>
          <w:p>
            <w:pPr>
              <w:ind w:left="300"/>
              <w:spacing w:after="0"/>
              <w:rPr>
                <w:sz w:val="20"/>
                <w:szCs w:val="20"/>
                <w:color w:val="auto"/>
              </w:rPr>
            </w:pPr>
            <w:r>
              <w:rPr>
                <w:rFonts w:ascii="Arial" w:cs="Arial" w:eastAsia="Arial" w:hAnsi="Arial"/>
                <w:sz w:val="50"/>
                <w:szCs w:val="50"/>
                <w:color w:val="auto"/>
              </w:rPr>
              <w:t>General Meeting of</w:t>
            </w:r>
          </w:p>
        </w:tc>
        <w:tc>
          <w:tcPr>
            <w:tcW w:w="0" w:type="dxa"/>
            <w:vAlign w:val="bottom"/>
          </w:tcPr>
          <w:p>
            <w:pPr>
              <w:spacing w:after="0"/>
              <w:rPr>
                <w:sz w:val="1"/>
                <w:szCs w:val="1"/>
                <w:color w:val="auto"/>
              </w:rPr>
            </w:pPr>
          </w:p>
        </w:tc>
      </w:tr>
      <w:tr>
        <w:trPr>
          <w:trHeight w:val="1043"/>
        </w:trPr>
        <w:tc>
          <w:tcPr>
            <w:tcW w:w="2220" w:type="dxa"/>
            <w:vAlign w:val="bottom"/>
            <w:tcBorders>
              <w:right w:val="single" w:sz="8" w:color="auto"/>
            </w:tcBorders>
          </w:tcPr>
          <w:p>
            <w:pPr>
              <w:spacing w:after="0"/>
              <w:rPr>
                <w:sz w:val="24"/>
                <w:szCs w:val="24"/>
                <w:color w:val="auto"/>
              </w:rPr>
            </w:pPr>
          </w:p>
        </w:tc>
        <w:tc>
          <w:tcPr>
            <w:tcW w:w="4460" w:type="dxa"/>
            <w:vAlign w:val="bottom"/>
          </w:tcPr>
          <w:p>
            <w:pPr>
              <w:ind w:left="300"/>
              <w:spacing w:after="0"/>
              <w:rPr>
                <w:sz w:val="20"/>
                <w:szCs w:val="20"/>
                <w:color w:val="auto"/>
              </w:rPr>
            </w:pPr>
            <w:r>
              <w:rPr>
                <w:rFonts w:ascii="Arial" w:cs="Arial" w:eastAsia="Arial" w:hAnsi="Arial"/>
                <w:sz w:val="50"/>
                <w:szCs w:val="50"/>
                <w:color w:val="auto"/>
              </w:rPr>
              <w:t>Proxy Statement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3673475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3120390</wp:posOffset>
            </wp:positionV>
            <wp:extent cx="19888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8820" cy="3175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PROXY STATEMENT — YOUR VOTE IS VERY IMPORTANT</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Letter to Shareholders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27, 2026</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Dear Shareholder:</w:t>
      </w:r>
    </w:p>
    <w:p>
      <w:pPr>
        <w:spacing w:after="0" w:line="194" w:lineRule="exact"/>
        <w:rPr>
          <w:sz w:val="20"/>
          <w:szCs w:val="20"/>
          <w:color w:val="auto"/>
        </w:rPr>
      </w:pPr>
    </w:p>
    <w:p>
      <w:pPr>
        <w:ind w:left="680"/>
        <w:spacing w:after="0" w:line="266" w:lineRule="auto"/>
        <w:rPr>
          <w:sz w:val="20"/>
          <w:szCs w:val="20"/>
          <w:color w:val="auto"/>
        </w:rPr>
      </w:pPr>
      <w:r>
        <w:rPr>
          <w:rFonts w:ascii="Arial" w:cs="Arial" w:eastAsia="Arial" w:hAnsi="Arial"/>
          <w:sz w:val="16"/>
          <w:szCs w:val="16"/>
          <w:color w:val="auto"/>
        </w:rPr>
        <w:t>This serves as notice to you of the 2026 Annual General Meeting (the “Annual General Meeting” or “AGM”) of Keenova Therapeutics plc, which will be held on Tuesday, June 2, 2026, at 12:30 p.m. local time, at the offices of Arthur Cox LLP, Ten Earlsfort Terrace, Dublin 2, D02 T380, Ireland.</w:t>
      </w:r>
    </w:p>
    <w:p>
      <w:pPr>
        <w:spacing w:after="0" w:line="144" w:lineRule="exact"/>
        <w:rPr>
          <w:sz w:val="20"/>
          <w:szCs w:val="20"/>
          <w:color w:val="auto"/>
        </w:rPr>
      </w:pPr>
    </w:p>
    <w:p>
      <w:pPr>
        <w:ind w:left="680" w:right="80"/>
        <w:spacing w:after="0" w:line="259" w:lineRule="auto"/>
        <w:rPr>
          <w:sz w:val="20"/>
          <w:szCs w:val="20"/>
          <w:color w:val="auto"/>
        </w:rPr>
      </w:pPr>
      <w:r>
        <w:rPr>
          <w:rFonts w:ascii="Arial" w:cs="Arial" w:eastAsia="Arial" w:hAnsi="Arial"/>
          <w:sz w:val="16"/>
          <w:szCs w:val="16"/>
          <w:color w:val="auto"/>
        </w:rPr>
        <w:t>Whether or not you expect to attend the Annual General Meeting, we encourage you to cast your vote promptly so that your shares will be represented and voted at the meeting. This can be done in advance of the AGM by utilizing one of the options detailed in the accompanying Proxy Statement. In addition, details of the business to be presented at the AGM can also be found in the accompanying Proxy Statement.</w:t>
      </w:r>
    </w:p>
    <w:p>
      <w:pPr>
        <w:spacing w:after="0" w:line="137" w:lineRule="exact"/>
        <w:rPr>
          <w:sz w:val="20"/>
          <w:szCs w:val="20"/>
          <w:color w:val="auto"/>
        </w:rPr>
      </w:pPr>
    </w:p>
    <w:p>
      <w:pPr>
        <w:ind w:left="680" w:right="720"/>
        <w:spacing w:after="0" w:line="296" w:lineRule="auto"/>
        <w:rPr>
          <w:sz w:val="20"/>
          <w:szCs w:val="20"/>
          <w:color w:val="auto"/>
        </w:rPr>
      </w:pPr>
      <w:r>
        <w:rPr>
          <w:rFonts w:ascii="Arial" w:cs="Arial" w:eastAsia="Arial" w:hAnsi="Arial"/>
          <w:sz w:val="16"/>
          <w:szCs w:val="16"/>
          <w:b w:val="1"/>
          <w:bCs w:val="1"/>
          <w:color w:val="auto"/>
        </w:rPr>
        <w:t>Your vote is important and I encourage you to submit your proxy as soon as possible so that your shares will be represented at the meeting.</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On behalf of the Board of Directors and the management of Keenova, I extend our appreciation for your continued support.</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420370</wp:posOffset>
            </wp:positionV>
            <wp:extent cx="185166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MARC YOSKOWITZ</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3937000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3092450</wp:posOffset>
            </wp:positionV>
            <wp:extent cx="1551305" cy="248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305" cy="24828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80" w:right="1920"/>
        <w:spacing w:after="0" w:line="260" w:lineRule="auto"/>
        <w:rPr>
          <w:sz w:val="20"/>
          <w:szCs w:val="20"/>
          <w:color w:val="auto"/>
        </w:rPr>
      </w:pPr>
      <w:r>
        <w:rPr>
          <w:rFonts w:ascii="Arial" w:cs="Arial" w:eastAsia="Arial" w:hAnsi="Arial"/>
          <w:sz w:val="41"/>
          <w:szCs w:val="41"/>
          <w:b w:val="1"/>
          <w:bCs w:val="1"/>
          <w:color w:val="4CA87C"/>
        </w:rPr>
        <w:t>Notice of 2026 Annual General Meeting of Shareholders to be Held June 2, 2026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KEENOVA THERAPEUTICS PUBLIC LIMITED COMPANY</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Registered In Ireland — No. 522227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Registered Office and Principal Executive Office: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College Business &amp; Technology Park, Cruiserath,</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Blanchardstown, Dublin 15, Ireland</w:t>
      </w:r>
    </w:p>
    <w:p>
      <w:pPr>
        <w:spacing w:after="0" w:line="178" w:lineRule="exact"/>
        <w:rPr>
          <w:sz w:val="20"/>
          <w:szCs w:val="20"/>
          <w:color w:val="auto"/>
        </w:rPr>
      </w:pPr>
    </w:p>
    <w:p>
      <w:pPr>
        <w:ind w:left="680" w:right="860"/>
        <w:spacing w:after="0" w:line="275" w:lineRule="auto"/>
        <w:rPr>
          <w:sz w:val="20"/>
          <w:szCs w:val="20"/>
          <w:color w:val="auto"/>
        </w:rPr>
      </w:pPr>
      <w:r>
        <w:rPr>
          <w:rFonts w:ascii="Arial" w:cs="Arial" w:eastAsia="Arial" w:hAnsi="Arial"/>
          <w:sz w:val="16"/>
          <w:szCs w:val="16"/>
          <w:color w:val="auto"/>
        </w:rPr>
        <w:t>The 2026 Annual General Meeting of Keenova Therapeutics plc (“Keenova” or the “Company”), a company incorporated under the laws of Ireland, will be held on Tuesday, June 2, 2026, at 12:30 p.m., local time, at the offices of Arthur Cox LLP, Ten Earlsfort Terrace, Dublin 2, D02 T380, Ireland,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121920</wp:posOffset>
            </wp:positionV>
            <wp:extent cx="513461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4610" cy="16319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60" w:type="dxa"/>
            <w:vAlign w:val="bottom"/>
            <w:shd w:val="clear" w:color="auto" w:fill="B2EEDE"/>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B2EEDE"/>
          </w:tcPr>
          <w:p>
            <w:pPr>
              <w:jc w:val="center"/>
              <w:spacing w:after="0"/>
              <w:rPr>
                <w:sz w:val="20"/>
                <w:szCs w:val="20"/>
                <w:color w:val="auto"/>
              </w:rPr>
            </w:pPr>
            <w:r>
              <w:rPr>
                <w:rFonts w:ascii="Arial" w:cs="Arial" w:eastAsia="Arial" w:hAnsi="Arial"/>
                <w:sz w:val="16"/>
                <w:szCs w:val="16"/>
                <w:b w:val="1"/>
                <w:bCs w:val="1"/>
                <w:color w:val="auto"/>
              </w:rPr>
              <w:t>Proposal</w:t>
            </w:r>
          </w:p>
        </w:tc>
        <w:tc>
          <w:tcPr>
            <w:tcW w:w="140" w:type="dxa"/>
            <w:vAlign w:val="bottom"/>
            <w:shd w:val="clear" w:color="auto" w:fill="B2EEDE"/>
          </w:tcPr>
          <w:p>
            <w:pPr>
              <w:ind w:left="100"/>
              <w:spacing w:after="0"/>
              <w:rPr>
                <w:sz w:val="20"/>
                <w:szCs w:val="20"/>
                <w:color w:val="auto"/>
              </w:rPr>
            </w:pPr>
            <w:r>
              <w:rPr>
                <w:rFonts w:ascii="Arial" w:cs="Arial" w:eastAsia="Arial" w:hAnsi="Arial"/>
                <w:sz w:val="16"/>
                <w:szCs w:val="16"/>
                <w:b w:val="1"/>
                <w:bCs w:val="1"/>
                <w:color w:val="auto"/>
              </w:rPr>
              <w:t>​</w:t>
            </w:r>
          </w:p>
        </w:tc>
        <w:tc>
          <w:tcPr>
            <w:tcW w:w="5320" w:type="dxa"/>
            <w:vAlign w:val="bottom"/>
            <w:gridSpan w:val="4"/>
          </w:tcPr>
          <w:p>
            <w:pPr>
              <w:ind w:left="260"/>
              <w:spacing w:after="0"/>
              <w:rPr>
                <w:sz w:val="20"/>
                <w:szCs w:val="20"/>
                <w:color w:val="auto"/>
              </w:rPr>
            </w:pPr>
            <w:r>
              <w:rPr>
                <w:rFonts w:ascii="Arial" w:cs="Arial" w:eastAsia="Arial" w:hAnsi="Arial"/>
                <w:sz w:val="16"/>
                <w:szCs w:val="16"/>
                <w:b w:val="1"/>
                <w:bCs w:val="1"/>
                <w:color w:val="auto"/>
              </w:rPr>
              <w:t>​Meeting Agenda and Voting Recommendation</w:t>
            </w:r>
          </w:p>
        </w:tc>
        <w:tc>
          <w:tcPr>
            <w:tcW w:w="42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91"/>
        </w:trPr>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jc w:val="center"/>
              <w:spacing w:after="0" w:line="191" w:lineRule="exact"/>
              <w:rPr>
                <w:sz w:val="20"/>
                <w:szCs w:val="20"/>
                <w:color w:val="auto"/>
              </w:rPr>
            </w:pPr>
            <w:r>
              <w:rPr>
                <w:rFonts w:ascii="Arial" w:cs="Arial" w:eastAsia="Arial" w:hAnsi="Arial"/>
                <w:sz w:val="22"/>
                <w:szCs w:val="22"/>
                <w:b w:val="1"/>
                <w:bCs w:val="1"/>
                <w:color w:val="auto"/>
                <w:w w:val="97"/>
              </w:rPr>
              <w:t>1</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c>
          <w:tcPr>
            <w:tcW w:w="7920" w:type="dxa"/>
            <w:vAlign w:val="bottom"/>
            <w:gridSpan w:val="6"/>
          </w:tcPr>
          <w:p>
            <w:pPr>
              <w:ind w:left="260"/>
              <w:spacing w:after="0"/>
              <w:rPr>
                <w:sz w:val="20"/>
                <w:szCs w:val="20"/>
                <w:color w:val="auto"/>
              </w:rPr>
            </w:pPr>
            <w:r>
              <w:rPr>
                <w:rFonts w:ascii="Arial" w:cs="Arial" w:eastAsia="Arial" w:hAnsi="Arial"/>
                <w:sz w:val="16"/>
                <w:szCs w:val="16"/>
                <w:color w:val="auto"/>
                <w:w w:val="99"/>
              </w:rPr>
              <w:t>​By separate resolutions, to elect as directors and to hold office, expiring at the end of the Company’s Annual</w:t>
            </w:r>
          </w:p>
        </w:tc>
      </w:tr>
      <w:tr>
        <w:trPr>
          <w:trHeight w:val="213"/>
        </w:trPr>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20" w:type="dxa"/>
            <w:vAlign w:val="bottom"/>
            <w:gridSpan w:val="4"/>
          </w:tcPr>
          <w:p>
            <w:pPr>
              <w:ind w:left="300"/>
              <w:spacing w:after="0"/>
              <w:rPr>
                <w:sz w:val="20"/>
                <w:szCs w:val="20"/>
                <w:color w:val="auto"/>
              </w:rPr>
            </w:pPr>
            <w:r>
              <w:rPr>
                <w:rFonts w:ascii="Arial" w:cs="Arial" w:eastAsia="Arial" w:hAnsi="Arial"/>
                <w:sz w:val="16"/>
                <w:szCs w:val="16"/>
                <w:color w:val="auto"/>
              </w:rPr>
              <w:t>General Meeting of Shareholders in 2026, the following individuals:</w:t>
            </w:r>
          </w:p>
        </w:tc>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5"/>
        </w:trPr>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   ​ •</w:t>
            </w:r>
          </w:p>
        </w:tc>
        <w:tc>
          <w:tcPr>
            <w:tcW w:w="1800" w:type="dxa"/>
            <w:vAlign w:val="bottom"/>
          </w:tcPr>
          <w:p>
            <w:pPr>
              <w:ind w:left="60"/>
              <w:spacing w:after="0"/>
              <w:rPr>
                <w:sz w:val="20"/>
                <w:szCs w:val="20"/>
                <w:color w:val="auto"/>
              </w:rPr>
            </w:pPr>
            <w:r>
              <w:rPr>
                <w:rFonts w:ascii="Arial" w:cs="Arial" w:eastAsia="Arial" w:hAnsi="Arial"/>
                <w:sz w:val="16"/>
                <w:szCs w:val="16"/>
                <w:color w:val="auto"/>
              </w:rPr>
              <w:t>Paul M. Bisaro</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40" w:type="dxa"/>
            <w:vAlign w:val="bottom"/>
          </w:tcPr>
          <w:p>
            <w:pPr>
              <w:ind w:left="60"/>
              <w:spacing w:after="0"/>
              <w:rPr>
                <w:sz w:val="20"/>
                <w:szCs w:val="20"/>
                <w:color w:val="auto"/>
              </w:rPr>
            </w:pPr>
            <w:r>
              <w:rPr>
                <w:rFonts w:ascii="Arial" w:cs="Arial" w:eastAsia="Arial" w:hAnsi="Arial"/>
                <w:sz w:val="16"/>
                <w:szCs w:val="16"/>
                <w:color w:val="auto"/>
              </w:rPr>
              <w:t>Paul Efron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ind w:left="60"/>
              <w:spacing w:after="0"/>
              <w:rPr>
                <w:sz w:val="20"/>
                <w:szCs w:val="20"/>
                <w:color w:val="auto"/>
              </w:rPr>
            </w:pPr>
            <w:r>
              <w:rPr>
                <w:rFonts w:ascii="Arial" w:cs="Arial" w:eastAsia="Arial" w:hAnsi="Arial"/>
                <w:sz w:val="16"/>
                <w:szCs w:val="16"/>
                <w:color w:val="auto"/>
              </w:rPr>
              <w:t>Sigurdur O. Olafsson</w:t>
            </w:r>
          </w:p>
        </w:tc>
      </w:tr>
      <w:tr>
        <w:trPr>
          <w:trHeight w:val="243"/>
        </w:trPr>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ind w:left="60"/>
              <w:spacing w:after="0"/>
              <w:rPr>
                <w:sz w:val="20"/>
                <w:szCs w:val="20"/>
                <w:color w:val="auto"/>
              </w:rPr>
            </w:pPr>
            <w:r>
              <w:rPr>
                <w:rFonts w:ascii="Arial" w:cs="Arial" w:eastAsia="Arial" w:hAnsi="Arial"/>
                <w:sz w:val="16"/>
                <w:szCs w:val="16"/>
                <w:color w:val="auto"/>
              </w:rPr>
              <w:t>Leslie Donato</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40" w:type="dxa"/>
            <w:vAlign w:val="bottom"/>
          </w:tcPr>
          <w:p>
            <w:pPr>
              <w:ind w:left="60"/>
              <w:spacing w:after="0"/>
              <w:rPr>
                <w:sz w:val="20"/>
                <w:szCs w:val="20"/>
                <w:color w:val="auto"/>
              </w:rPr>
            </w:pPr>
            <w:r>
              <w:rPr>
                <w:rFonts w:ascii="Arial" w:cs="Arial" w:eastAsia="Arial" w:hAnsi="Arial"/>
                <w:sz w:val="16"/>
                <w:szCs w:val="16"/>
                <w:color w:val="auto"/>
              </w:rPr>
              <w:t>Scott Hirsch</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ind w:left="60"/>
              <w:spacing w:after="0"/>
              <w:rPr>
                <w:sz w:val="20"/>
                <w:szCs w:val="20"/>
                <w:color w:val="auto"/>
              </w:rPr>
            </w:pPr>
            <w:r>
              <w:rPr>
                <w:rFonts w:ascii="Arial" w:cs="Arial" w:eastAsia="Arial" w:hAnsi="Arial"/>
                <w:sz w:val="16"/>
                <w:szCs w:val="16"/>
                <w:color w:val="auto"/>
              </w:rPr>
              <w:t>Marc Yoskowitz</w:t>
            </w:r>
          </w:p>
        </w:tc>
      </w:tr>
      <w:tr>
        <w:trPr>
          <w:trHeight w:val="256"/>
        </w:trPr>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ind w:left="60"/>
              <w:spacing w:after="0"/>
              <w:rPr>
                <w:sz w:val="20"/>
                <w:szCs w:val="20"/>
                <w:color w:val="auto"/>
              </w:rPr>
            </w:pPr>
            <w:r>
              <w:rPr>
                <w:rFonts w:ascii="Arial" w:cs="Arial" w:eastAsia="Arial" w:hAnsi="Arial"/>
                <w:sz w:val="16"/>
                <w:szCs w:val="16"/>
                <w:color w:val="auto"/>
              </w:rPr>
              <w:t>Katina Dorton</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40" w:type="dxa"/>
            <w:vAlign w:val="bottom"/>
          </w:tcPr>
          <w:p>
            <w:pPr>
              <w:ind w:left="60"/>
              <w:spacing w:after="0"/>
              <w:rPr>
                <w:sz w:val="20"/>
                <w:szCs w:val="20"/>
                <w:color w:val="auto"/>
              </w:rPr>
            </w:pPr>
            <w:r>
              <w:rPr>
                <w:rFonts w:ascii="Arial" w:cs="Arial" w:eastAsia="Arial" w:hAnsi="Arial"/>
                <w:sz w:val="16"/>
                <w:szCs w:val="16"/>
                <w:color w:val="auto"/>
              </w:rPr>
              <w:t>Sophia Langlois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ind w:left="60"/>
              <w:spacing w:after="0"/>
              <w:rPr>
                <w:sz w:val="20"/>
                <w:szCs w:val="20"/>
                <w:color w:val="auto"/>
              </w:rPr>
            </w:pPr>
            <w:r>
              <w:rPr>
                <w:rFonts w:ascii="Arial" w:cs="Arial" w:eastAsia="Arial" w:hAnsi="Arial"/>
                <w:sz w:val="16"/>
                <w:szCs w:val="16"/>
                <w:color w:val="auto"/>
              </w:rPr>
              <w:t>Jonathan Zinman</w:t>
            </w: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right"/>
        <w:ind w:right="660"/>
        <w:spacing w:after="0"/>
        <w:rPr>
          <w:sz w:val="20"/>
          <w:szCs w:val="20"/>
          <w:color w:val="auto"/>
        </w:rPr>
      </w:pPr>
      <w:r>
        <w:rPr>
          <w:rFonts w:ascii="Arial" w:cs="Arial" w:eastAsia="Arial" w:hAnsi="Arial"/>
          <w:sz w:val="16"/>
          <w:szCs w:val="16"/>
          <w:b w:val="1"/>
          <w:bCs w:val="1"/>
          <w:color w:val="auto"/>
        </w:rPr>
        <w:t>​</w:t>
      </w:r>
    </w:p>
    <w:p>
      <w:pPr>
        <w:spacing w:after="0" w:line="35" w:lineRule="exact"/>
        <w:rPr>
          <w:sz w:val="20"/>
          <w:szCs w:val="20"/>
          <w:color w:val="auto"/>
        </w:rPr>
      </w:pPr>
    </w:p>
    <w:p>
      <w:pPr>
        <w:jc w:val="right"/>
        <w:ind w:right="660"/>
        <w:spacing w:after="0"/>
        <w:rPr>
          <w:sz w:val="20"/>
          <w:szCs w:val="20"/>
          <w:color w:val="auto"/>
        </w:rPr>
      </w:pP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31" w:lineRule="exact"/>
        <w:rPr>
          <w:sz w:val="20"/>
          <w:szCs w:val="20"/>
          <w:color w:val="auto"/>
        </w:rPr>
      </w:pPr>
    </w:p>
    <w:p>
      <w:pPr>
        <w:sectPr>
          <w:pgSz w:w="11900" w:h="16838" w:orient="portrait"/>
          <w:cols w:equalWidth="0" w:num="2">
            <w:col w:w="9700" w:space="260"/>
            <w:col w:w="760"/>
          </w:cols>
          <w:pgMar w:left="580" w:top="97" w:right="599" w:bottom="1440" w:gutter="0" w:footer="0" w:header="0"/>
          <w:type w:val="continuous"/>
        </w:sectPr>
      </w:pPr>
    </w:p>
    <w:tbl>
      <w:tblPr>
        <w:tblLayout w:type="fixed"/>
        <w:tblInd w:w="720" w:type="dxa"/>
        <w:tblCellMar>
          <w:top w:w="0" w:type="dxa"/>
          <w:left w:w="0" w:type="dxa"/>
          <w:bottom w:w="0" w:type="dxa"/>
          <w:right w:w="0" w:type="dxa"/>
        </w:tblCellMar>
      </w:tblPr>
      <w:tr>
        <w:trPr>
          <w:trHeight w:val="220"/>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2"/>
              <w:spacing w:after="0" w:line="220" w:lineRule="exact"/>
              <w:rPr>
                <w:sz w:val="20"/>
                <w:szCs w:val="20"/>
                <w:color w:val="auto"/>
              </w:rPr>
            </w:pPr>
            <w:r>
              <w:rPr>
                <w:rFonts w:ascii="Arial" w:cs="Arial" w:eastAsia="Arial" w:hAnsi="Arial"/>
                <w:sz w:val="22"/>
                <w:szCs w:val="22"/>
                <w:b w:val="1"/>
                <w:bCs w:val="1"/>
                <w:color w:val="auto"/>
              </w:rPr>
              <w:t>2</w:t>
            </w: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7940" w:type="dxa"/>
            <w:vAlign w:val="bottom"/>
          </w:tcPr>
          <w:p>
            <w:pPr>
              <w:ind w:left="120"/>
              <w:spacing w:after="0"/>
              <w:rPr>
                <w:sz w:val="20"/>
                <w:szCs w:val="20"/>
                <w:color w:val="auto"/>
              </w:rPr>
            </w:pPr>
            <w:r>
              <w:rPr>
                <w:rFonts w:ascii="Arial" w:cs="Arial" w:eastAsia="Arial" w:hAnsi="Arial"/>
                <w:sz w:val="16"/>
                <w:szCs w:val="16"/>
                <w:color w:val="auto"/>
              </w:rPr>
              <w:t>​To hold an advisory non-binding vote to approve the re-appointment of PricewaterhouseCoopers LLP as the</w:t>
            </w:r>
          </w:p>
        </w:tc>
      </w:tr>
      <w:tr>
        <w:trPr>
          <w:trHeight w:val="187"/>
        </w:trPr>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independent auditors of the Company and, by binding vote, to authorize the Audit Committee of the Board of</w:t>
            </w:r>
          </w:p>
        </w:tc>
      </w:tr>
      <w:tr>
        <w:trPr>
          <w:trHeight w:val="190"/>
        </w:trPr>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Directors (the “Board”) to set the independent auditors’ remuneration.</w:t>
            </w:r>
          </w:p>
        </w:tc>
      </w:tr>
      <w:tr>
        <w:trPr>
          <w:trHeight w:val="295"/>
        </w:trPr>
        <w:tc>
          <w:tcPr>
            <w:tcW w:w="260" w:type="dxa"/>
            <w:vAlign w:val="bottom"/>
          </w:tcPr>
          <w:p>
            <w:pPr>
              <w:spacing w:after="0"/>
              <w:rPr>
                <w:sz w:val="20"/>
                <w:szCs w:val="20"/>
                <w:color w:val="auto"/>
              </w:rPr>
            </w:pPr>
            <w:r>
              <w:rPr>
                <w:rFonts w:ascii="Arial" w:cs="Arial" w:eastAsia="Arial" w:hAnsi="Arial"/>
                <w:sz w:val="22"/>
                <w:szCs w:val="22"/>
                <w:color w:val="auto"/>
              </w:rPr>
              <w:t>​</w:t>
            </w:r>
          </w:p>
        </w:tc>
        <w:tc>
          <w:tcPr>
            <w:tcW w:w="540" w:type="dxa"/>
            <w:vAlign w:val="bottom"/>
          </w:tcPr>
          <w:p>
            <w:pPr>
              <w:jc w:val="right"/>
              <w:ind w:right="112"/>
              <w:spacing w:after="0"/>
              <w:rPr>
                <w:sz w:val="20"/>
                <w:szCs w:val="20"/>
                <w:color w:val="auto"/>
              </w:rPr>
            </w:pPr>
            <w:r>
              <w:rPr>
                <w:rFonts w:ascii="Arial" w:cs="Arial" w:eastAsia="Arial" w:hAnsi="Arial"/>
                <w:sz w:val="22"/>
                <w:szCs w:val="22"/>
                <w:b w:val="1"/>
                <w:bCs w:val="1"/>
                <w:color w:val="auto"/>
              </w:rPr>
              <w:t>3</w:t>
            </w:r>
          </w:p>
        </w:tc>
        <w:tc>
          <w:tcPr>
            <w:tcW w:w="400" w:type="dxa"/>
            <w:vAlign w:val="bottom"/>
          </w:tcPr>
          <w:p>
            <w:pPr>
              <w:ind w:left="220"/>
              <w:spacing w:after="0"/>
              <w:rPr>
                <w:sz w:val="20"/>
                <w:szCs w:val="20"/>
                <w:color w:val="auto"/>
              </w:rPr>
            </w:pPr>
            <w:r>
              <w:rPr>
                <w:rFonts w:ascii="Arial" w:cs="Arial" w:eastAsia="Arial" w:hAnsi="Arial"/>
                <w:sz w:val="22"/>
                <w:szCs w:val="22"/>
                <w:color w:val="auto"/>
              </w:rPr>
              <w:t>​</w:t>
            </w:r>
          </w:p>
        </w:tc>
        <w:tc>
          <w:tcPr>
            <w:tcW w:w="7940" w:type="dxa"/>
            <w:vAlign w:val="bottom"/>
          </w:tcPr>
          <w:p>
            <w:pPr>
              <w:ind w:left="120"/>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To hold an advisory non-binding vote to approve the Company’s executive compensation.</w:t>
            </w:r>
          </w:p>
        </w:tc>
      </w:tr>
      <w:tr>
        <w:trPr>
          <w:trHeight w:val="206"/>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2"/>
              <w:spacing w:after="0" w:line="206" w:lineRule="exact"/>
              <w:rPr>
                <w:sz w:val="20"/>
                <w:szCs w:val="20"/>
                <w:color w:val="auto"/>
              </w:rPr>
            </w:pPr>
            <w:r>
              <w:rPr>
                <w:rFonts w:ascii="Arial" w:cs="Arial" w:eastAsia="Arial" w:hAnsi="Arial"/>
                <w:sz w:val="22"/>
                <w:szCs w:val="22"/>
                <w:b w:val="1"/>
                <w:bCs w:val="1"/>
                <w:color w:val="auto"/>
              </w:rPr>
              <w:t>4</w:t>
            </w: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7940" w:type="dxa"/>
            <w:vAlign w:val="bottom"/>
          </w:tcPr>
          <w:p>
            <w:pPr>
              <w:ind w:left="120"/>
              <w:spacing w:after="0"/>
              <w:rPr>
                <w:sz w:val="20"/>
                <w:szCs w:val="20"/>
                <w:color w:val="auto"/>
              </w:rPr>
            </w:pPr>
            <w:r>
              <w:rPr>
                <w:rFonts w:ascii="Arial" w:cs="Arial" w:eastAsia="Arial" w:hAnsi="Arial"/>
                <w:sz w:val="16"/>
                <w:szCs w:val="16"/>
                <w:color w:val="auto"/>
                <w:w w:val="99"/>
              </w:rPr>
              <w:t>​To hold an advisory non-binding vote to approve the frequency of future advisory non-binding votes to approve</w:t>
            </w:r>
          </w:p>
        </w:tc>
      </w:tr>
      <w:tr>
        <w:trPr>
          <w:trHeight w:val="174"/>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40" w:type="dxa"/>
            <w:vAlign w:val="bottom"/>
          </w:tcPr>
          <w:p>
            <w:pPr>
              <w:ind w:left="160"/>
              <w:spacing w:after="0" w:line="175" w:lineRule="exact"/>
              <w:rPr>
                <w:sz w:val="20"/>
                <w:szCs w:val="20"/>
                <w:color w:val="auto"/>
              </w:rPr>
            </w:pPr>
            <w:r>
              <w:rPr>
                <w:rFonts w:ascii="Arial" w:cs="Arial" w:eastAsia="Arial" w:hAnsi="Arial"/>
                <w:sz w:val="16"/>
                <w:szCs w:val="16"/>
                <w:color w:val="auto"/>
              </w:rPr>
              <w:t>the Company’s executive compensation.</w:t>
            </w:r>
          </w:p>
        </w:tc>
      </w:tr>
      <w:tr>
        <w:trPr>
          <w:trHeight w:val="295"/>
        </w:trPr>
        <w:tc>
          <w:tcPr>
            <w:tcW w:w="260" w:type="dxa"/>
            <w:vAlign w:val="bottom"/>
          </w:tcPr>
          <w:p>
            <w:pPr>
              <w:spacing w:after="0"/>
              <w:rPr>
                <w:sz w:val="20"/>
                <w:szCs w:val="20"/>
                <w:color w:val="auto"/>
              </w:rPr>
            </w:pPr>
            <w:r>
              <w:rPr>
                <w:rFonts w:ascii="Arial" w:cs="Arial" w:eastAsia="Arial" w:hAnsi="Arial"/>
                <w:sz w:val="22"/>
                <w:szCs w:val="22"/>
                <w:color w:val="auto"/>
              </w:rPr>
              <w:t>​</w:t>
            </w:r>
          </w:p>
        </w:tc>
        <w:tc>
          <w:tcPr>
            <w:tcW w:w="540" w:type="dxa"/>
            <w:vAlign w:val="bottom"/>
          </w:tcPr>
          <w:p>
            <w:pPr>
              <w:jc w:val="right"/>
              <w:ind w:right="112"/>
              <w:spacing w:after="0"/>
              <w:rPr>
                <w:sz w:val="20"/>
                <w:szCs w:val="20"/>
                <w:color w:val="auto"/>
              </w:rPr>
            </w:pPr>
            <w:r>
              <w:rPr>
                <w:rFonts w:ascii="Arial" w:cs="Arial" w:eastAsia="Arial" w:hAnsi="Arial"/>
                <w:sz w:val="22"/>
                <w:szCs w:val="22"/>
                <w:b w:val="1"/>
                <w:bCs w:val="1"/>
                <w:color w:val="auto"/>
              </w:rPr>
              <w:t>5</w:t>
            </w:r>
          </w:p>
        </w:tc>
        <w:tc>
          <w:tcPr>
            <w:tcW w:w="400" w:type="dxa"/>
            <w:vAlign w:val="bottom"/>
          </w:tcPr>
          <w:p>
            <w:pPr>
              <w:ind w:left="220"/>
              <w:spacing w:after="0"/>
              <w:rPr>
                <w:sz w:val="20"/>
                <w:szCs w:val="20"/>
                <w:color w:val="auto"/>
              </w:rPr>
            </w:pPr>
            <w:r>
              <w:rPr>
                <w:rFonts w:ascii="Arial" w:cs="Arial" w:eastAsia="Arial" w:hAnsi="Arial"/>
                <w:sz w:val="22"/>
                <w:szCs w:val="22"/>
                <w:color w:val="auto"/>
              </w:rPr>
              <w:t>​</w:t>
            </w:r>
          </w:p>
        </w:tc>
        <w:tc>
          <w:tcPr>
            <w:tcW w:w="7940" w:type="dxa"/>
            <w:vAlign w:val="bottom"/>
          </w:tcPr>
          <w:p>
            <w:pPr>
              <w:ind w:left="120"/>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To approve the reduction of Company capital (Special Resolution).</w:t>
            </w:r>
          </w:p>
        </w:tc>
      </w:tr>
      <w:tr>
        <w:trPr>
          <w:trHeight w:val="206"/>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2"/>
              <w:spacing w:after="0" w:line="206" w:lineRule="exact"/>
              <w:rPr>
                <w:sz w:val="20"/>
                <w:szCs w:val="20"/>
                <w:color w:val="auto"/>
              </w:rPr>
            </w:pPr>
            <w:r>
              <w:rPr>
                <w:rFonts w:ascii="Arial" w:cs="Arial" w:eastAsia="Arial" w:hAnsi="Arial"/>
                <w:sz w:val="22"/>
                <w:szCs w:val="22"/>
                <w:b w:val="1"/>
                <w:bCs w:val="1"/>
                <w:color w:val="auto"/>
              </w:rPr>
              <w:t>6</w:t>
            </w: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7940" w:type="dxa"/>
            <w:vAlign w:val="bottom"/>
          </w:tcPr>
          <w:p>
            <w:pPr>
              <w:ind w:left="120"/>
              <w:spacing w:after="0"/>
              <w:rPr>
                <w:sz w:val="20"/>
                <w:szCs w:val="20"/>
                <w:color w:val="auto"/>
              </w:rPr>
            </w:pPr>
            <w:r>
              <w:rPr>
                <w:rFonts w:ascii="Arial" w:cs="Arial" w:eastAsia="Arial" w:hAnsi="Arial"/>
                <w:sz w:val="16"/>
                <w:szCs w:val="16"/>
                <w:color w:val="auto"/>
              </w:rPr>
              <w:t>​To approve an amendment to the Company’s articles of association (“Articles of Association”) (Special</w:t>
            </w:r>
          </w:p>
        </w:tc>
      </w:tr>
      <w:tr>
        <w:trPr>
          <w:trHeight w:val="174"/>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40" w:type="dxa"/>
            <w:vAlign w:val="bottom"/>
          </w:tcPr>
          <w:p>
            <w:pPr>
              <w:ind w:left="160"/>
              <w:spacing w:after="0" w:line="175" w:lineRule="exact"/>
              <w:rPr>
                <w:sz w:val="20"/>
                <w:szCs w:val="20"/>
                <w:color w:val="auto"/>
              </w:rPr>
            </w:pPr>
            <w:r>
              <w:rPr>
                <w:rFonts w:ascii="Arial" w:cs="Arial" w:eastAsia="Arial" w:hAnsi="Arial"/>
                <w:sz w:val="16"/>
                <w:szCs w:val="16"/>
                <w:color w:val="auto"/>
              </w:rPr>
              <w:t>Resolution).</w:t>
            </w:r>
          </w:p>
        </w:tc>
      </w:tr>
      <w:tr>
        <w:trPr>
          <w:trHeight w:val="322"/>
        </w:trPr>
        <w:tc>
          <w:tcPr>
            <w:tcW w:w="260" w:type="dxa"/>
            <w:vAlign w:val="bottom"/>
          </w:tcPr>
          <w:p>
            <w:pPr>
              <w:spacing w:after="0"/>
              <w:rPr>
                <w:sz w:val="20"/>
                <w:szCs w:val="20"/>
                <w:color w:val="auto"/>
              </w:rPr>
            </w:pPr>
            <w:r>
              <w:rPr>
                <w:rFonts w:ascii="Arial" w:cs="Arial" w:eastAsia="Arial" w:hAnsi="Arial"/>
                <w:sz w:val="22"/>
                <w:szCs w:val="22"/>
                <w:color w:val="auto"/>
              </w:rPr>
              <w:t>​</w:t>
            </w:r>
          </w:p>
        </w:tc>
        <w:tc>
          <w:tcPr>
            <w:tcW w:w="540" w:type="dxa"/>
            <w:vAlign w:val="bottom"/>
          </w:tcPr>
          <w:p>
            <w:pPr>
              <w:jc w:val="right"/>
              <w:ind w:right="112"/>
              <w:spacing w:after="0"/>
              <w:rPr>
                <w:sz w:val="20"/>
                <w:szCs w:val="20"/>
                <w:color w:val="auto"/>
              </w:rPr>
            </w:pPr>
            <w:r>
              <w:rPr>
                <w:rFonts w:ascii="Arial" w:cs="Arial" w:eastAsia="Arial" w:hAnsi="Arial"/>
                <w:sz w:val="22"/>
                <w:szCs w:val="22"/>
                <w:b w:val="1"/>
                <w:bCs w:val="1"/>
                <w:color w:val="auto"/>
              </w:rPr>
              <w:t>7</w:t>
            </w:r>
          </w:p>
        </w:tc>
        <w:tc>
          <w:tcPr>
            <w:tcW w:w="400" w:type="dxa"/>
            <w:vAlign w:val="bottom"/>
          </w:tcPr>
          <w:p>
            <w:pPr>
              <w:ind w:left="220"/>
              <w:spacing w:after="0"/>
              <w:rPr>
                <w:sz w:val="20"/>
                <w:szCs w:val="20"/>
                <w:color w:val="auto"/>
              </w:rPr>
            </w:pPr>
            <w:r>
              <w:rPr>
                <w:rFonts w:ascii="Arial" w:cs="Arial" w:eastAsia="Arial" w:hAnsi="Arial"/>
                <w:sz w:val="22"/>
                <w:szCs w:val="22"/>
                <w:color w:val="auto"/>
              </w:rPr>
              <w:t>​</w:t>
            </w:r>
          </w:p>
        </w:tc>
        <w:tc>
          <w:tcPr>
            <w:tcW w:w="7940" w:type="dxa"/>
            <w:vAlign w:val="bottom"/>
          </w:tcPr>
          <w:p>
            <w:pPr>
              <w:ind w:left="120"/>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To act on such other business as may properly come before the meeting or any adjournment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17780</wp:posOffset>
            </wp:positionV>
            <wp:extent cx="5966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-187325</wp:posOffset>
            </wp:positionV>
            <wp:extent cx="5966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-444500</wp:posOffset>
            </wp:positionV>
            <wp:extent cx="5966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-615950</wp:posOffset>
            </wp:positionV>
            <wp:extent cx="5966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-873125</wp:posOffset>
            </wp:positionV>
            <wp:extent cx="59664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-1044575</wp:posOffset>
            </wp:positionV>
            <wp:extent cx="5966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-1430655</wp:posOffset>
            </wp:positionV>
            <wp:extent cx="59664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8" w:lineRule="exact"/>
        <w:rPr>
          <w:sz w:val="20"/>
          <w:szCs w:val="20"/>
          <w:color w:val="auto"/>
        </w:rPr>
      </w:pPr>
    </w:p>
    <w:p>
      <w:pPr>
        <w:sectPr>
          <w:pgSz w:w="11900" w:h="16838" w:orient="portrait"/>
          <w:cols w:equalWidth="0" w:num="2">
            <w:col w:w="9860" w:space="160"/>
            <w:col w:w="700"/>
          </w:cols>
          <w:pgMar w:left="580" w:top="97" w:right="599" w:bottom="1440" w:gutter="0" w:footer="0" w:header="0"/>
          <w:type w:val="continuous"/>
        </w:sectPr>
      </w:pPr>
    </w:p>
    <w:p>
      <w:pPr>
        <w:ind w:left="680" w:right="720"/>
        <w:spacing w:after="0" w:line="268" w:lineRule="auto"/>
        <w:rPr>
          <w:sz w:val="20"/>
          <w:szCs w:val="20"/>
          <w:color w:val="auto"/>
        </w:rPr>
      </w:pPr>
      <w:r>
        <w:rPr>
          <w:rFonts w:ascii="Arial" w:cs="Arial" w:eastAsia="Arial" w:hAnsi="Arial"/>
          <w:sz w:val="16"/>
          <w:szCs w:val="16"/>
          <w:color w:val="auto"/>
        </w:rPr>
        <w:t>Proposals 1 through 4 are ordinary resolutions, requiring the approval of a simple majority of the votes cast by the holders of Keenova ordinary shares present and voting, in person or by proxy. Proposals 5 and 6 are special resolutions, requiring the approval of at least three-fourths of the votes cast by the holders of Keenova ordinary shares present and voting, in person or by proxy. The foregoing items are more fully described in the Proxy Statement accompanying this Notice of Annual General Meeting of Shareholders. Shareholders of record as of March 23, 2026, the record date for the Annual General Meeting, are entitled to vote on these matters.</w:t>
      </w:r>
    </w:p>
    <w:p>
      <w:pPr>
        <w:spacing w:after="0" w:line="144" w:lineRule="exact"/>
        <w:rPr>
          <w:sz w:val="20"/>
          <w:szCs w:val="20"/>
          <w:color w:val="auto"/>
        </w:rPr>
      </w:pPr>
    </w:p>
    <w:p>
      <w:pPr>
        <w:ind w:left="680" w:right="1320"/>
        <w:spacing w:after="0" w:line="286" w:lineRule="auto"/>
        <w:rPr>
          <w:sz w:val="20"/>
          <w:szCs w:val="20"/>
          <w:color w:val="auto"/>
        </w:rPr>
      </w:pPr>
      <w:r>
        <w:rPr>
          <w:rFonts w:ascii="Arial" w:cs="Arial" w:eastAsia="Arial" w:hAnsi="Arial"/>
          <w:sz w:val="16"/>
          <w:szCs w:val="16"/>
          <w:color w:val="auto"/>
        </w:rPr>
        <w:t>During the meeting, following a review of the Company’s affairs, management will also present and the auditors will report to shareholders on Keenova’s Irish Statutory Accounts for the fiscal year ended December 31, 2025.</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158115</wp:posOffset>
            </wp:positionV>
            <wp:extent cx="1217295" cy="419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2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Mark Tyndall,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Secretary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April 27,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0" w:type="dxa"/>
            <w:vAlign w:val="bottom"/>
            <w:tcBorders>
              <w:right w:val="single" w:sz="8" w:color="auto"/>
            </w:tcBorders>
          </w:tcPr>
          <w:p>
            <w:pPr>
              <w:spacing w:after="0"/>
              <w:rPr>
                <w:sz w:val="21"/>
                <w:szCs w:val="21"/>
                <w:color w:val="auto"/>
              </w:rPr>
            </w:pP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9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IMPORTANT NOTICE REGARDING AVAILABILITY OF PROXY MATERIALS FOR THE ANNUAL GENERAL MEETING OF</w:t>
            </w:r>
          </w:p>
        </w:tc>
        <w:tc>
          <w:tcPr>
            <w:tcW w:w="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0" w:type="dxa"/>
            <w:vAlign w:val="bottom"/>
            <w:tcBorders>
              <w:right w:val="single" w:sz="8" w:color="auto"/>
            </w:tcBorders>
          </w:tcPr>
          <w:p>
            <w:pPr>
              <w:spacing w:after="0"/>
              <w:rPr>
                <w:sz w:val="19"/>
                <w:szCs w:val="19"/>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b w:val="1"/>
                <w:bCs w:val="1"/>
                <w:color w:val="3FD4AD"/>
              </w:rPr>
              <w:t>​</w:t>
            </w:r>
          </w:p>
        </w:tc>
        <w:tc>
          <w:tcPr>
            <w:tcW w:w="9040" w:type="dxa"/>
            <w:vAlign w:val="bottom"/>
          </w:tcPr>
          <w:p>
            <w:pPr>
              <w:jc w:val="center"/>
              <w:spacing w:after="0"/>
              <w:rPr>
                <w:sz w:val="20"/>
                <w:szCs w:val="20"/>
                <w:color w:val="auto"/>
              </w:rPr>
            </w:pPr>
            <w:r>
              <w:rPr>
                <w:rFonts w:ascii="Arial" w:cs="Arial" w:eastAsia="Arial" w:hAnsi="Arial"/>
                <w:sz w:val="16"/>
                <w:szCs w:val="16"/>
                <w:b w:val="1"/>
                <w:bCs w:val="1"/>
                <w:color w:val="auto"/>
                <w:w w:val="99"/>
              </w:rPr>
              <w:t>SHAREHOLDERS TO BE HELD ON JUNE 2, 2026.</w:t>
            </w:r>
          </w:p>
        </w:tc>
        <w:tc>
          <w:tcPr>
            <w:tcW w:w="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3FD4AD"/>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right w:val="single" w:sz="8" w:color="auto"/>
            </w:tcBorders>
          </w:tcPr>
          <w:p>
            <w:pPr>
              <w:spacing w:after="0"/>
              <w:rPr>
                <w:sz w:val="16"/>
                <w:szCs w:val="16"/>
                <w:color w:val="auto"/>
              </w:rPr>
            </w:pPr>
          </w:p>
        </w:tc>
        <w:tc>
          <w:tcPr>
            <w:tcW w:w="180" w:type="dxa"/>
            <w:vAlign w:val="bottom"/>
            <w:vMerge w:val="continue"/>
          </w:tcPr>
          <w:p>
            <w:pPr>
              <w:spacing w:after="0"/>
              <w:rPr>
                <w:sz w:val="16"/>
                <w:szCs w:val="16"/>
                <w:color w:val="auto"/>
              </w:rPr>
            </w:pPr>
          </w:p>
        </w:tc>
        <w:tc>
          <w:tcPr>
            <w:tcW w:w="9040" w:type="dxa"/>
            <w:vAlign w:val="bottom"/>
          </w:tcPr>
          <w:p>
            <w:pPr>
              <w:jc w:val="center"/>
              <w:spacing w:after="0"/>
              <w:rPr>
                <w:sz w:val="20"/>
                <w:szCs w:val="20"/>
                <w:color w:val="auto"/>
              </w:rPr>
            </w:pPr>
            <w:r>
              <w:rPr>
                <w:rFonts w:ascii="Arial" w:cs="Arial" w:eastAsia="Arial" w:hAnsi="Arial"/>
                <w:sz w:val="16"/>
                <w:szCs w:val="16"/>
                <w:b w:val="1"/>
                <w:bCs w:val="1"/>
                <w:color w:val="3FD4AD"/>
              </w:rPr>
              <w:t>The Notice of Annual Meeting of Shareholders, Proxy Statement and Annual Report are available at</w:t>
            </w:r>
          </w:p>
        </w:tc>
        <w:tc>
          <w:tcPr>
            <w:tcW w:w="160" w:type="dxa"/>
            <w:vAlign w:val="bottom"/>
            <w:tcBorders>
              <w:right w:val="single" w:sz="8" w:color="auto"/>
            </w:tcBorders>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40" w:type="dxa"/>
            <w:vAlign w:val="bottom"/>
          </w:tcPr>
          <w:p>
            <w:pPr>
              <w:jc w:val="center"/>
              <w:spacing w:after="0"/>
              <w:rPr>
                <w:sz w:val="20"/>
                <w:szCs w:val="20"/>
                <w:color w:val="auto"/>
              </w:rPr>
            </w:pPr>
            <w:r>
              <w:rPr>
                <w:rFonts w:ascii="Arial" w:cs="Arial" w:eastAsia="Arial" w:hAnsi="Arial"/>
                <w:sz w:val="16"/>
                <w:szCs w:val="16"/>
                <w:b w:val="1"/>
                <w:bCs w:val="1"/>
                <w:i w:val="1"/>
                <w:iCs w:val="1"/>
                <w:color w:val="3FD4AD"/>
              </w:rPr>
              <w:t>investor.keenova.com.</w:t>
            </w:r>
          </w:p>
        </w:tc>
        <w:tc>
          <w:tcPr>
            <w:tcW w:w="16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8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4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5"/>
        </w:trPr>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Proxy Statement</w:t>
      </w:r>
    </w:p>
    <w:p>
      <w:pPr>
        <w:spacing w:after="0" w:line="106"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KEENOVA THERAPEUTICS PUBLIC LIMITED COMPANY</w:t>
      </w:r>
    </w:p>
    <w:p>
      <w:pPr>
        <w:spacing w:after="0" w:line="45"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Registered In Ireland — No. 522227</w:t>
      </w:r>
    </w:p>
    <w:p>
      <w:pPr>
        <w:spacing w:after="0" w:line="2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Registered Office and Principal Executive Office:</w:t>
      </w:r>
    </w:p>
    <w:p>
      <w:pPr>
        <w:ind w:left="3460"/>
        <w:spacing w:after="0" w:line="210" w:lineRule="auto"/>
        <w:rPr>
          <w:sz w:val="20"/>
          <w:szCs w:val="20"/>
          <w:color w:val="auto"/>
        </w:rPr>
      </w:pPr>
      <w:r>
        <w:rPr>
          <w:rFonts w:ascii="Arial" w:cs="Arial" w:eastAsia="Arial" w:hAnsi="Arial"/>
          <w:sz w:val="16"/>
          <w:szCs w:val="16"/>
          <w:b w:val="1"/>
          <w:bCs w:val="1"/>
          <w:color w:val="auto"/>
        </w:rPr>
        <w:t>College Business &amp; Technology Park, Cruiserath,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Blanchardstown, Dublin 15, Ireland</w:t>
      </w:r>
      <w:r>
        <w:rPr>
          <w:rFonts w:ascii="Times New Roman" w:cs="Times New Roman" w:eastAsia="Times New Roman" w:hAnsi="Times New Roman"/>
          <w:sz w:val="21"/>
          <w:szCs w:val="21"/>
          <w:color w:val="auto"/>
        </w:rPr>
        <w:t>​</w:t>
      </w:r>
    </w:p>
    <w:p>
      <w:pPr>
        <w:spacing w:after="0" w:line="84" w:lineRule="exact"/>
        <w:rPr>
          <w:sz w:val="20"/>
          <w:szCs w:val="20"/>
          <w:color w:val="auto"/>
        </w:rPr>
      </w:pPr>
    </w:p>
    <w:p>
      <w:pPr>
        <w:ind w:left="680"/>
        <w:spacing w:after="0" w:line="252" w:lineRule="auto"/>
        <w:rPr>
          <w:sz w:val="20"/>
          <w:szCs w:val="20"/>
          <w:color w:val="auto"/>
        </w:rPr>
      </w:pPr>
      <w:r>
        <w:rPr>
          <w:rFonts w:ascii="Arial" w:cs="Arial" w:eastAsia="Arial" w:hAnsi="Arial"/>
          <w:sz w:val="16"/>
          <w:szCs w:val="16"/>
          <w:color w:val="auto"/>
        </w:rPr>
        <w:t>The 2026 Annual General Meeting (the “Annual General Meeting” or “AGM”) of Keenova Therapeutics plc (“Keenova” or the “Company,” “we,” “our,” or “us”) will be held on Tuesday, June 2, 2026, at 12:30 p.m., local time, at the offices of Arthur Cox LLP, Ten Earlsfort Terrace, Dublin 2, D02 T380, Ireland. Any shareholder entitled to attend and vote at the Annual General Meeting may appoint one or more proxies, who need not be a shareholder(s) of Keenova, to act on their behalf. Proxies may be appointed via the internet or by phone in the manner set out in our proxy card or by returning a signed instrument of proxy (or proxy card) to the following location by 11:59 p.m., U.S. Eastern Time, on June 1, 2026 with Keenova Therapeutics plc c/o Broadridge, 51 Mercedes Way, Edgewood, NY 11717 (which Broadridge will arrange to forward to Keenova’s registered office electronically) or with Keenova at its registered office to the attention of the Corporate Secretary.</w:t>
      </w:r>
    </w:p>
    <w:p>
      <w:pPr>
        <w:spacing w:after="0" w:line="142" w:lineRule="exact"/>
        <w:rPr>
          <w:sz w:val="20"/>
          <w:szCs w:val="20"/>
          <w:color w:val="auto"/>
        </w:rPr>
      </w:pPr>
    </w:p>
    <w:p>
      <w:pPr>
        <w:ind w:left="680"/>
        <w:spacing w:after="0" w:line="266" w:lineRule="auto"/>
        <w:rPr>
          <w:sz w:val="20"/>
          <w:szCs w:val="20"/>
          <w:color w:val="auto"/>
        </w:rPr>
      </w:pPr>
      <w:r>
        <w:rPr>
          <w:rFonts w:ascii="Arial" w:cs="Arial" w:eastAsia="Arial" w:hAnsi="Arial"/>
          <w:sz w:val="16"/>
          <w:szCs w:val="16"/>
          <w:color w:val="auto"/>
        </w:rPr>
        <w:t>If you wish to appoint a person other than the individuals specified on our proxy card, please contact our Corporate Secretary at our registered office, and also note that your appointed proxy must attend the Annual General Meeting in person in order for your votes to be cast.</w:t>
      </w:r>
    </w:p>
    <w:p>
      <w:pPr>
        <w:spacing w:after="0" w:line="144" w:lineRule="exact"/>
        <w:rPr>
          <w:sz w:val="20"/>
          <w:szCs w:val="20"/>
          <w:color w:val="auto"/>
        </w:rPr>
      </w:pPr>
    </w:p>
    <w:p>
      <w:pPr>
        <w:ind w:left="680" w:right="240"/>
        <w:spacing w:after="0" w:line="259" w:lineRule="auto"/>
        <w:rPr>
          <w:sz w:val="20"/>
          <w:szCs w:val="20"/>
          <w:color w:val="auto"/>
        </w:rPr>
      </w:pPr>
      <w:r>
        <w:rPr>
          <w:rFonts w:ascii="Arial" w:cs="Arial" w:eastAsia="Arial" w:hAnsi="Arial"/>
          <w:sz w:val="16"/>
          <w:szCs w:val="16"/>
          <w:color w:val="auto"/>
        </w:rPr>
        <w:t xml:space="preserve">This Proxy Statement and our Annual Report on Form 10-K for the fiscal year ended December 31, 2025, are available to shareholders of record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These materials are also publicly available on the Investor Relations section of our website at </w:t>
      </w:r>
      <w:r>
        <w:rPr>
          <w:rFonts w:ascii="Arial" w:cs="Arial" w:eastAsia="Arial" w:hAnsi="Arial"/>
          <w:sz w:val="16"/>
          <w:szCs w:val="16"/>
          <w:i w:val="1"/>
          <w:iCs w:val="1"/>
          <w:color w:val="auto"/>
        </w:rPr>
        <w:t>investor.keenova.com</w:t>
      </w:r>
      <w:r>
        <w:rPr>
          <w:rFonts w:ascii="Arial" w:cs="Arial" w:eastAsia="Arial" w:hAnsi="Arial"/>
          <w:sz w:val="16"/>
          <w:szCs w:val="16"/>
          <w:color w:val="auto"/>
        </w:rPr>
        <w:t xml:space="preserve">. Keenova’s Irish Statutory Accounts will be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and on the Investor Relations section of our website at </w:t>
      </w:r>
      <w:r>
        <w:rPr>
          <w:rFonts w:ascii="Arial" w:cs="Arial" w:eastAsia="Arial" w:hAnsi="Arial"/>
          <w:sz w:val="16"/>
          <w:szCs w:val="16"/>
          <w:i w:val="1"/>
          <w:iCs w:val="1"/>
          <w:color w:val="auto"/>
        </w:rPr>
        <w:t>investor.keenova.com</w:t>
      </w:r>
      <w:r>
        <w:rPr>
          <w:rFonts w:ascii="Arial" w:cs="Arial" w:eastAsia="Arial" w:hAnsi="Arial"/>
          <w:sz w:val="16"/>
          <w:szCs w:val="16"/>
          <w:color w:val="auto"/>
        </w:rPr>
        <w:t xml:space="preserve"> at least 21 days prior to the Annual General Meeting.</w:t>
      </w:r>
    </w:p>
    <w:p>
      <w:pPr>
        <w:spacing w:after="0" w:line="137" w:lineRule="exact"/>
        <w:rPr>
          <w:sz w:val="20"/>
          <w:szCs w:val="20"/>
          <w:color w:val="auto"/>
        </w:rPr>
      </w:pPr>
    </w:p>
    <w:p>
      <w:pPr>
        <w:ind w:left="680" w:right="120"/>
        <w:spacing w:after="0" w:line="286" w:lineRule="auto"/>
        <w:rPr>
          <w:sz w:val="20"/>
          <w:szCs w:val="20"/>
          <w:color w:val="auto"/>
        </w:rPr>
      </w:pPr>
      <w:r>
        <w:rPr>
          <w:rFonts w:ascii="Arial" w:cs="Arial" w:eastAsia="Arial" w:hAnsi="Arial"/>
          <w:sz w:val="16"/>
          <w:szCs w:val="16"/>
          <w:color w:val="auto"/>
        </w:rPr>
        <w:t>Website references throughout this Proxy Statement are provided for convenience only, and the content on the referenced websites is not incorporated by reference into this Proxy Statement.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Note Regarding Forward-Looking Statements</w:t>
      </w:r>
    </w:p>
    <w:p>
      <w:pPr>
        <w:spacing w:after="0" w:line="126" w:lineRule="exact"/>
        <w:rPr>
          <w:sz w:val="20"/>
          <w:szCs w:val="20"/>
          <w:color w:val="auto"/>
        </w:rPr>
      </w:pPr>
    </w:p>
    <w:p>
      <w:pPr>
        <w:ind w:left="680" w:right="120"/>
        <w:spacing w:after="0" w:line="253" w:lineRule="auto"/>
        <w:rPr>
          <w:sz w:val="20"/>
          <w:szCs w:val="20"/>
          <w:color w:val="auto"/>
        </w:rPr>
      </w:pPr>
      <w:r>
        <w:rPr>
          <w:rFonts w:ascii="Arial" w:cs="Arial" w:eastAsia="Arial" w:hAnsi="Arial"/>
          <w:sz w:val="16"/>
          <w:szCs w:val="16"/>
          <w:color w:val="auto"/>
        </w:rPr>
        <w:t>Statements in this Proxy Statement that are not strictly historical, including statements regarding the future financial condition and operating results of the Company, expected product launches, legal, economic, business, competitive and/or regulatory factors affecting Keenova’s businesses and any other statements regarding events or developments Keenova believes or anticipates will or may occur in the future, may be “forward-looking” statements within the meaning of the Private Securities Litigation Reform Act of 1995, and involve a number of risks and uncertainties. Forward-looking statements can be identified by the use of forward-looking terminology such as the words “believe,” “expect,” “plan,” “intend,” “project,” “anticipate,” “approximately,” “estimate,” “predict,” “potential,” “continue,” “may,” “could,” “should,” “will” or the negative of these terms or similar expressions.</w:t>
      </w:r>
    </w:p>
    <w:p>
      <w:pPr>
        <w:spacing w:after="0" w:line="141" w:lineRule="exact"/>
        <w:rPr>
          <w:sz w:val="20"/>
          <w:szCs w:val="20"/>
          <w:color w:val="auto"/>
        </w:rPr>
      </w:pPr>
    </w:p>
    <w:p>
      <w:pPr>
        <w:ind w:left="680"/>
        <w:spacing w:after="0" w:line="242" w:lineRule="auto"/>
        <w:rPr>
          <w:sz w:val="20"/>
          <w:szCs w:val="20"/>
          <w:color w:val="auto"/>
        </w:rPr>
      </w:pPr>
      <w:r>
        <w:rPr>
          <w:rFonts w:ascii="Arial" w:cs="Arial" w:eastAsia="Arial" w:hAnsi="Arial"/>
          <w:sz w:val="16"/>
          <w:szCs w:val="16"/>
          <w:color w:val="auto"/>
        </w:rPr>
        <w:t>There are a number of important factors that could cause actual events to differ materially from those suggested or indicated by such forward-looking statements and you should not place undue reliance on any such forward-looking statements. These factors include risks and uncertainties related to, among other things: the expected benefits and synergies of the business combination with Endo, Inc. may not be fully realized in a timely manner, or at all; the Company’s increased indebtedness as a result of the business combination with Endo, Inc. and significant transaction costs related to the business combination with Endo, Inc.; the expected growth opportunities, profit improvements, cost savings and other benefits as a result of the spin-off of Par Health, Inc. from Keenova may not be fully realized in a timely manner, or at all; loss of the benefits of services provided by Par Health or certain of its subsidiaries; risks associated with being a smaller, less diversified company as a result of the spin-off of Par Health, Inc.; unanticipated costs, litigation and/or regulatory inquiries and investigations, including as a result of the business combination with Endo, Inc. or the spin-off of Par Health, Inc.; potential changes in the estimated fair value of the net assets acquired in the business combination with Endo, Inc.; potential changes in the Company’s business strategy and performance; exposure to global economic conditions and market uncertainty; governmental investigations and inquiries, regulatory actions, and lawsuits, in each case related to the Company or its officers; the Company’s contractual and court-ordered compliance obligations that, if violated, could result in penalties; matters related to Acthar</w:t>
      </w:r>
      <w:r>
        <w:rPr>
          <w:rFonts w:ascii="Arial" w:cs="Arial" w:eastAsia="Arial" w:hAnsi="Arial"/>
          <w:sz w:val="25"/>
          <w:szCs w:val="25"/>
          <w:color w:val="auto"/>
          <w:vertAlign w:val="superscript"/>
        </w:rPr>
        <w:t>®</w:t>
      </w:r>
      <w:r>
        <w:rPr>
          <w:rFonts w:ascii="Arial" w:cs="Arial" w:eastAsia="Arial" w:hAnsi="Arial"/>
          <w:sz w:val="16"/>
          <w:szCs w:val="16"/>
          <w:color w:val="auto"/>
        </w:rPr>
        <w:t xml:space="preserve"> Gel (repository corticotropin injection), including the settlement with governmental parties to resolve certain disputes and compliance with and restrictions under the related corporate integrity agreement; the ability to maintain relationships with the Company’s suppliers, customers, employees and other third parties; scrutiny from governments, legislative bodies and enforcement agencies related to sales, marketing and pricing practices; pricing pressure on certain of the Company’s products due to legal changes or changes in insurers’ or other payers’ reimbursement practices resulting from recent increased public scrutiny of healthcare and pharmaceutical costs; the reimbursement practices of governmental health administration authorities, private health coverage insurers and other third-party payers; complex reporting and payment obligations under the Medicare and Medicaid rebate programs and other governmental purchasing and rebate programs; cost containment efforts of customers, purchasing groups, third-party payers and governmental organizations; changes in or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595630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0"/>
        <w:spacing w:after="0" w:line="271" w:lineRule="auto"/>
        <w:rPr>
          <w:sz w:val="20"/>
          <w:szCs w:val="20"/>
          <w:color w:val="auto"/>
        </w:rPr>
      </w:pPr>
      <w:r>
        <w:rPr>
          <w:rFonts w:ascii="Arial" w:cs="Arial" w:eastAsia="Arial" w:hAnsi="Arial"/>
          <w:sz w:val="15"/>
          <w:szCs w:val="15"/>
          <w:color w:val="auto"/>
        </w:rPr>
        <w:t>comply with relevant laws and regulations; any undesirable side effects caused by the Company’s approved and investigational products, which could limit their commercial profile or result in other negative consequences; the Company’s and its partners’ ability to successfully develop, commercialize or launch new products or expand commercial opportunities of existing products, including Acthar Gel SelfJect, the INOmax</w:t>
      </w:r>
      <w:r>
        <w:rPr>
          <w:rFonts w:ascii="Arial" w:cs="Arial" w:eastAsia="Arial" w:hAnsi="Arial"/>
          <w:sz w:val="23"/>
          <w:szCs w:val="23"/>
          <w:color w:val="auto"/>
          <w:vertAlign w:val="superscript"/>
        </w:rPr>
        <w:t>®</w:t>
      </w:r>
      <w:r>
        <w:rPr>
          <w:rFonts w:ascii="Arial" w:cs="Arial" w:eastAsia="Arial" w:hAnsi="Arial"/>
          <w:sz w:val="15"/>
          <w:szCs w:val="15"/>
          <w:color w:val="auto"/>
        </w:rPr>
        <w:t xml:space="preserve"> Evolve DS delivery system, and XIAFLEX</w:t>
      </w:r>
      <w:r>
        <w:rPr>
          <w:rFonts w:ascii="Arial" w:cs="Arial" w:eastAsia="Arial" w:hAnsi="Arial"/>
          <w:sz w:val="23"/>
          <w:szCs w:val="23"/>
          <w:color w:val="auto"/>
          <w:vertAlign w:val="superscript"/>
        </w:rPr>
        <w:t>®</w:t>
      </w:r>
      <w:r>
        <w:rPr>
          <w:rFonts w:ascii="Arial" w:cs="Arial" w:eastAsia="Arial" w:hAnsi="Arial"/>
          <w:sz w:val="15"/>
          <w:szCs w:val="15"/>
          <w:color w:val="auto"/>
        </w:rPr>
        <w:t xml:space="preserve"> (collagenase clostridium histolyticum); the Company’s ability to successfully pursue additional indications for XIAFLEX, including the timing and outcome of clinical results and regulatory submissions; the Company’s ability to successfully identify or discover additional products or product candidates; the Company’s ability to navigate price fluctuations and pressures, including the ability to achieve anticipated benefits of price increases of its products; competition; the Company’s and its partners’ ability to protect intellectual property rights; limited clinical trial data for Acthar Gel; the timing, expense and uncertainty associated with clinical studies and related regulatory processes; product liability losses and other litigation liability; material health, safety and environmental laws and related liabilities; business development activities or other strategic transactions; attraction and retention of qualified personnel in key fields; the effectiveness of information technology infrastructure, including risks of external attacks or failures; customer concentration; the Company’s reliance on certain individual products that are material to its financial performance; complex manufacturing processes; reliance on third-party manufacturers and supply chain providers and related market disruptions; conducting business internationally; new or increased tariffs and evolving trade relations and changes in trade and taxation policy; the Company’s significant levels of intangible assets and related impairment testing; natural disasters or other catastrophic events; the Company’s substantial indebtedness and settlement obligation, its ability to generate sufficient cash to reduce its indebtedness and its potential need and ability to incur further indebtedness; restrictions contained in the agreements governing the Company’s indebtedness and settlement obligation on the Company’s operations, future financings and use of proceeds; the Company’s variable rate indebtedness; the Company’s tax treatment by the Internal Revenue Service under Section 7874 and Section 382 of the Internal Revenue Code of 1986, as amended; future changes to applicable tax laws or the impact of disputes with governmental tax authorities; the impact of Irish laws; the comparability of the Company’s financial results to historical financial statements in light of its emergence from Chapter 11 bankruptcy proceedings in 2023, the divestiture of the Therakos business, the business combination with Endo, Inc. and spin-off of Par Health, Inc.</w:t>
      </w:r>
    </w:p>
    <w:p>
      <w:pPr>
        <w:spacing w:after="0" w:line="35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“Risk Factors” and “Management’s Discussion and Analysis of Financial Condition and Results of Operations” sections of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Company’s Annual Report on Form 10-K for the fiscal year ended December 31, 2025 filed with the SEC, and other filings with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SEC, all of which are on file with the SEC and available from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and the Company’s website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www.keenova.com</w:t>
      </w:r>
      <w:r>
        <w:rPr>
          <w:rFonts w:ascii="Arial" w:cs="Arial" w:eastAsia="Arial" w:hAnsi="Arial"/>
          <w:sz w:val="15"/>
          <w:szCs w:val="15"/>
          <w:color w:val="auto"/>
        </w:rPr>
        <w:t>), identify and describe in more detail the risks and uncertainties to which the Company’s businesses are subject.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There may be other risks and uncertainties that we are unable to predict at this time or that we currently do not expect to have a</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material adverse effect on our business. The forward-looking statements made herein speak only as of the date hereof and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Company does not assume any obligation to update or revise any forward-looking statement, whether as a result of new information,</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future events and developments or otherwise, except as required by law. Given these uncertainties, one should not put undue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reliance on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4001135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Table of Contents</w:t>
      </w:r>
    </w:p>
    <w:p>
      <w:pPr>
        <w:spacing w:after="0" w:line="30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6350</wp:posOffset>
            </wp:positionV>
            <wp:extent cx="596646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0" w:lineRule="exact"/>
        <w:rPr>
          <w:sz w:val="20"/>
          <w:szCs w:val="20"/>
          <w:color w:val="auto"/>
        </w:rPr>
      </w:pPr>
    </w:p>
    <w:p>
      <w:pPr>
        <w:ind w:left="780" w:hanging="54"/>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u w:val="single" w:color="auto"/>
          <w:color w:val="0000EE"/>
        </w:rPr>
        <w:t>2026 Annual General Meeting of Shareholders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u w:val="single" w:color="auto"/>
          <w:color w:val="0000EE"/>
        </w:rPr>
        <w:t>Meeting Agenda and Voting Recommendations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u w:val="single" w:color="auto"/>
          <w:color w:val="0000EE"/>
        </w:rPr>
        <w:t>Company Performance Highlights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u w:val="single" w:color="auto"/>
          <w:color w:val="0000EE"/>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29210</wp:posOffset>
            </wp:positionV>
            <wp:extent cx="596646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34290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-141605</wp:posOffset>
            </wp:positionV>
            <wp:extent cx="5966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-313055</wp:posOffset>
            </wp:positionV>
            <wp:extent cx="5966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-484505</wp:posOffset>
            </wp:positionV>
            <wp:extent cx="5966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3" w:lineRule="exact"/>
        <w:rPr>
          <w:sz w:val="20"/>
          <w:szCs w:val="20"/>
          <w:color w:val="auto"/>
        </w:rPr>
      </w:pPr>
    </w:p>
    <w:p>
      <w:pPr>
        <w:ind w:left="720" w:right="3220"/>
        <w:spacing w:after="0" w:line="352"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QUESTIONS AND ANSWERS ABOUT OUR ANNUAL MEETING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0000E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ind w:left="780" w:hanging="54"/>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0000EE"/>
        </w:rPr>
        <w:t>Recent Corporate Governance Changes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0000EE"/>
        </w:rPr>
        <w:t>Current Directors and Director Nominees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0000EE"/>
        </w:rPr>
        <w:t>Director Nominations Process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0000EE"/>
        </w:rPr>
        <w:t>Majority Vote for Election of Directors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0000EE"/>
        </w:rPr>
        <w:t>Independence of Directors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0000EE"/>
        </w:rPr>
        <w:t>Executive Sessions of the Board</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0000EE"/>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29210</wp:posOffset>
            </wp:positionV>
            <wp:extent cx="5966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-141605</wp:posOffset>
            </wp:positionV>
            <wp:extent cx="5966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-313055</wp:posOffset>
            </wp:positionV>
            <wp:extent cx="5966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-484505</wp:posOffset>
            </wp:positionV>
            <wp:extent cx="59664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-655955</wp:posOffset>
            </wp:positionV>
            <wp:extent cx="59664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-827405</wp:posOffset>
            </wp:positionV>
            <wp:extent cx="59664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-998855</wp:posOffset>
            </wp:positionV>
            <wp:extent cx="5966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u w:val="single" w:color="auto"/>
          <w:color w:val="0000EE"/>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0" w:lineRule="exact"/>
        <w:rPr>
          <w:sz w:val="20"/>
          <w:szCs w:val="20"/>
          <w:color w:val="auto"/>
        </w:rPr>
      </w:pPr>
    </w:p>
    <w:p>
      <w:pPr>
        <w:ind w:left="780" w:hanging="54"/>
        <w:spacing w:after="0"/>
        <w:tabs>
          <w:tab w:leader="none" w:pos="780" w:val="left"/>
        </w:tabs>
        <w:numPr>
          <w:ilvl w:val="0"/>
          <w:numId w:val="8"/>
        </w:numPr>
        <w:rPr>
          <w:rFonts w:ascii="Arial" w:cs="Arial" w:eastAsia="Arial" w:hAnsi="Arial"/>
          <w:sz w:val="16"/>
          <w:szCs w:val="16"/>
          <w:b w:val="1"/>
          <w:bCs w:val="1"/>
          <w:color w:val="auto"/>
        </w:rPr>
      </w:pPr>
      <w:r>
        <w:rPr>
          <w:rFonts w:ascii="Arial" w:cs="Arial" w:eastAsia="Arial" w:hAnsi="Arial"/>
          <w:sz w:val="16"/>
          <w:szCs w:val="16"/>
          <w:u w:val="single" w:color="auto"/>
          <w:color w:val="0000EE"/>
        </w:rPr>
        <w:t>Insider Trading Policy</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8"/>
        </w:numPr>
        <w:rPr>
          <w:rFonts w:ascii="Arial" w:cs="Arial" w:eastAsia="Arial" w:hAnsi="Arial"/>
          <w:sz w:val="15"/>
          <w:szCs w:val="15"/>
          <w:b w:val="1"/>
          <w:bCs w:val="1"/>
          <w:color w:val="auto"/>
        </w:rPr>
      </w:pPr>
      <w:r>
        <w:rPr>
          <w:rFonts w:ascii="Arial" w:cs="Arial" w:eastAsia="Arial" w:hAnsi="Arial"/>
          <w:sz w:val="15"/>
          <w:szCs w:val="15"/>
          <w:u w:val="single" w:color="auto"/>
          <w:color w:val="0000EE"/>
        </w:rPr>
        <w:t>Policies and Procedures Related to the Grant of Certain Equity Awards</w:t>
      </w:r>
    </w:p>
    <w:p>
      <w:pPr>
        <w:spacing w:after="0" w:line="97" w:lineRule="exact"/>
        <w:rPr>
          <w:rFonts w:ascii="Arial" w:cs="Arial" w:eastAsia="Arial" w:hAnsi="Arial"/>
          <w:sz w:val="15"/>
          <w:szCs w:val="15"/>
          <w:b w:val="1"/>
          <w:bCs w:val="1"/>
          <w:color w:val="auto"/>
        </w:rPr>
      </w:pPr>
    </w:p>
    <w:p>
      <w:pPr>
        <w:ind w:left="780" w:hanging="54"/>
        <w:spacing w:after="0"/>
        <w:tabs>
          <w:tab w:leader="none" w:pos="780" w:val="left"/>
        </w:tabs>
        <w:numPr>
          <w:ilvl w:val="0"/>
          <w:numId w:val="8"/>
        </w:numPr>
        <w:rPr>
          <w:rFonts w:ascii="Arial" w:cs="Arial" w:eastAsia="Arial" w:hAnsi="Arial"/>
          <w:sz w:val="16"/>
          <w:szCs w:val="16"/>
          <w:b w:val="1"/>
          <w:bCs w:val="1"/>
          <w:color w:val="auto"/>
        </w:rPr>
      </w:pPr>
      <w:r>
        <w:rPr>
          <w:rFonts w:ascii="Arial" w:cs="Arial" w:eastAsia="Arial" w:hAnsi="Arial"/>
          <w:sz w:val="16"/>
          <w:szCs w:val="16"/>
          <w:u w:val="single" w:color="auto"/>
          <w:color w:val="0000EE"/>
        </w:rPr>
        <w:t>Board Risk Oversight</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8"/>
        </w:numPr>
        <w:rPr>
          <w:rFonts w:ascii="Arial" w:cs="Arial" w:eastAsia="Arial" w:hAnsi="Arial"/>
          <w:sz w:val="16"/>
          <w:szCs w:val="16"/>
          <w:b w:val="1"/>
          <w:bCs w:val="1"/>
          <w:color w:val="auto"/>
        </w:rPr>
      </w:pPr>
      <w:r>
        <w:rPr>
          <w:rFonts w:ascii="Arial" w:cs="Arial" w:eastAsia="Arial" w:hAnsi="Arial"/>
          <w:sz w:val="16"/>
          <w:szCs w:val="16"/>
          <w:u w:val="single" w:color="auto"/>
          <w:color w:val="0000EE"/>
        </w:rPr>
        <w:t>Sustainability</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8"/>
        </w:numPr>
        <w:rPr>
          <w:rFonts w:ascii="Arial" w:cs="Arial" w:eastAsia="Arial" w:hAnsi="Arial"/>
          <w:sz w:val="16"/>
          <w:szCs w:val="16"/>
          <w:b w:val="1"/>
          <w:bCs w:val="1"/>
          <w:color w:val="auto"/>
        </w:rPr>
      </w:pPr>
      <w:r>
        <w:rPr>
          <w:rFonts w:ascii="Arial" w:cs="Arial" w:eastAsia="Arial" w:hAnsi="Arial"/>
          <w:sz w:val="16"/>
          <w:szCs w:val="16"/>
          <w:u w:val="single" w:color="auto"/>
          <w:color w:val="0000EE"/>
        </w:rPr>
        <w:t>Compensation Risk Assessment</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8"/>
        </w:numPr>
        <w:rPr>
          <w:rFonts w:ascii="Arial" w:cs="Arial" w:eastAsia="Arial" w:hAnsi="Arial"/>
          <w:sz w:val="16"/>
          <w:szCs w:val="16"/>
          <w:b w:val="1"/>
          <w:bCs w:val="1"/>
          <w:color w:val="auto"/>
        </w:rPr>
      </w:pPr>
      <w:r>
        <w:rPr>
          <w:rFonts w:ascii="Arial" w:cs="Arial" w:eastAsia="Arial" w:hAnsi="Arial"/>
          <w:sz w:val="16"/>
          <w:szCs w:val="16"/>
          <w:u w:val="single" w:color="auto"/>
          <w:color w:val="0000EE"/>
        </w:rPr>
        <w:t>Transactions with Related Persons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8"/>
        </w:numPr>
        <w:rPr>
          <w:rFonts w:ascii="Arial" w:cs="Arial" w:eastAsia="Arial" w:hAnsi="Arial"/>
          <w:sz w:val="16"/>
          <w:szCs w:val="16"/>
          <w:b w:val="1"/>
          <w:bCs w:val="1"/>
          <w:color w:val="auto"/>
        </w:rPr>
      </w:pPr>
      <w:r>
        <w:rPr>
          <w:rFonts w:ascii="Arial" w:cs="Arial" w:eastAsia="Arial" w:hAnsi="Arial"/>
          <w:sz w:val="16"/>
          <w:szCs w:val="16"/>
          <w:u w:val="single" w:color="auto"/>
          <w:color w:val="0000EE"/>
        </w:rPr>
        <w:t>Communications with the Board of Directors</w:t>
      </w:r>
    </w:p>
    <w:p>
      <w:pPr>
        <w:spacing w:after="0" w:line="86" w:lineRule="exact"/>
        <w:rPr>
          <w:rFonts w:ascii="Arial" w:cs="Arial" w:eastAsia="Arial" w:hAnsi="Arial"/>
          <w:sz w:val="16"/>
          <w:szCs w:val="16"/>
          <w:b w:val="1"/>
          <w:bCs w:val="1"/>
          <w:color w:val="auto"/>
        </w:rPr>
      </w:pPr>
    </w:p>
    <w:p>
      <w:pPr>
        <w:ind w:left="780" w:hanging="54"/>
        <w:spacing w:after="0"/>
        <w:tabs>
          <w:tab w:leader="none" w:pos="780" w:val="left"/>
        </w:tabs>
        <w:numPr>
          <w:ilvl w:val="0"/>
          <w:numId w:val="8"/>
        </w:numPr>
        <w:rPr>
          <w:rFonts w:ascii="Arial" w:cs="Arial" w:eastAsia="Arial" w:hAnsi="Arial"/>
          <w:sz w:val="16"/>
          <w:szCs w:val="16"/>
          <w:b w:val="1"/>
          <w:bCs w:val="1"/>
          <w:color w:val="auto"/>
        </w:rPr>
      </w:pPr>
      <w:r>
        <w:rPr>
          <w:rFonts w:ascii="Arial" w:cs="Arial" w:eastAsia="Arial" w:hAnsi="Arial"/>
          <w:sz w:val="16"/>
          <w:szCs w:val="16"/>
          <w:u w:val="single" w:color="auto"/>
          <w:color w:val="0000EE"/>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29210</wp:posOffset>
            </wp:positionV>
            <wp:extent cx="596646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-141605</wp:posOffset>
            </wp:positionV>
            <wp:extent cx="59664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-313055</wp:posOffset>
            </wp:positionV>
            <wp:extent cx="59664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-484505</wp:posOffset>
            </wp:positionV>
            <wp:extent cx="59664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-655955</wp:posOffset>
            </wp:positionV>
            <wp:extent cx="59664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-827405</wp:posOffset>
            </wp:positionV>
            <wp:extent cx="59664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-998855</wp:posOffset>
            </wp:positionV>
            <wp:extent cx="59664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-1170305</wp:posOffset>
            </wp:positionV>
            <wp:extent cx="5966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BOARD OF DIRECTORS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0" w:lineRule="exact"/>
        <w:rPr>
          <w:sz w:val="20"/>
          <w:szCs w:val="20"/>
          <w:color w:val="auto"/>
        </w:rPr>
      </w:pPr>
    </w:p>
    <w:p>
      <w:pPr>
        <w:ind w:left="780" w:hanging="54"/>
        <w:spacing w:after="0"/>
        <w:tabs>
          <w:tab w:leader="none" w:pos="780" w:val="left"/>
        </w:tabs>
        <w:numPr>
          <w:ilvl w:val="0"/>
          <w:numId w:val="9"/>
        </w:numPr>
        <w:rPr>
          <w:rFonts w:ascii="Arial" w:cs="Arial" w:eastAsia="Arial" w:hAnsi="Arial"/>
          <w:sz w:val="16"/>
          <w:szCs w:val="16"/>
          <w:b w:val="1"/>
          <w:bCs w:val="1"/>
          <w:color w:val="auto"/>
        </w:rPr>
      </w:pPr>
      <w:r>
        <w:rPr>
          <w:rFonts w:ascii="Arial" w:cs="Arial" w:eastAsia="Arial" w:hAnsi="Arial"/>
          <w:sz w:val="16"/>
          <w:szCs w:val="16"/>
          <w:u w:val="single" w:color="auto"/>
          <w:color w:val="0000EE"/>
        </w:rPr>
        <w:t>General</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9"/>
        </w:numPr>
        <w:rPr>
          <w:rFonts w:ascii="Arial" w:cs="Arial" w:eastAsia="Arial" w:hAnsi="Arial"/>
          <w:sz w:val="16"/>
          <w:szCs w:val="16"/>
          <w:b w:val="1"/>
          <w:bCs w:val="1"/>
          <w:color w:val="auto"/>
        </w:rPr>
      </w:pPr>
      <w:r>
        <w:rPr>
          <w:rFonts w:ascii="Arial" w:cs="Arial" w:eastAsia="Arial" w:hAnsi="Arial"/>
          <w:sz w:val="16"/>
          <w:szCs w:val="16"/>
          <w:u w:val="single" w:color="auto"/>
          <w:color w:val="0000EE"/>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-141605</wp:posOffset>
            </wp:positionV>
            <wp:extent cx="59664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0" w:lineRule="exact"/>
        <w:rPr>
          <w:sz w:val="20"/>
          <w:szCs w:val="20"/>
          <w:color w:val="auto"/>
        </w:rPr>
      </w:pPr>
    </w:p>
    <w:p>
      <w:pPr>
        <w:ind w:left="780" w:hanging="54"/>
        <w:spacing w:after="0"/>
        <w:tabs>
          <w:tab w:leader="none" w:pos="780" w:val="left"/>
        </w:tabs>
        <w:numPr>
          <w:ilvl w:val="0"/>
          <w:numId w:val="10"/>
        </w:numPr>
        <w:rPr>
          <w:rFonts w:ascii="Arial" w:cs="Arial" w:eastAsia="Arial" w:hAnsi="Arial"/>
          <w:sz w:val="16"/>
          <w:szCs w:val="16"/>
          <w:b w:val="1"/>
          <w:bCs w:val="1"/>
          <w:color w:val="auto"/>
        </w:rPr>
      </w:pPr>
      <w:r>
        <w:rPr>
          <w:rFonts w:ascii="Arial" w:cs="Arial" w:eastAsia="Arial" w:hAnsi="Arial"/>
          <w:sz w:val="16"/>
          <w:szCs w:val="16"/>
          <w:u w:val="single" w:color="auto"/>
          <w:color w:val="0000EE"/>
        </w:rPr>
        <w:t>Pre-Business Combination</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0"/>
        </w:numPr>
        <w:rPr>
          <w:rFonts w:ascii="Arial" w:cs="Arial" w:eastAsia="Arial" w:hAnsi="Arial"/>
          <w:sz w:val="16"/>
          <w:szCs w:val="16"/>
          <w:b w:val="1"/>
          <w:bCs w:val="1"/>
          <w:color w:val="auto"/>
        </w:rPr>
      </w:pPr>
      <w:r>
        <w:rPr>
          <w:rFonts w:ascii="Arial" w:cs="Arial" w:eastAsia="Arial" w:hAnsi="Arial"/>
          <w:sz w:val="16"/>
          <w:szCs w:val="16"/>
          <w:u w:val="single" w:color="auto"/>
          <w:color w:val="0000EE"/>
        </w:rPr>
        <w:t>Post-Business Combination</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0"/>
        </w:numPr>
        <w:rPr>
          <w:rFonts w:ascii="Arial" w:cs="Arial" w:eastAsia="Arial" w:hAnsi="Arial"/>
          <w:sz w:val="16"/>
          <w:szCs w:val="16"/>
          <w:b w:val="1"/>
          <w:bCs w:val="1"/>
          <w:color w:val="auto"/>
        </w:rPr>
      </w:pPr>
      <w:r>
        <w:rPr>
          <w:rFonts w:ascii="Arial" w:cs="Arial" w:eastAsia="Arial" w:hAnsi="Arial"/>
          <w:sz w:val="16"/>
          <w:szCs w:val="16"/>
          <w:u w:val="single" w:color="auto"/>
          <w:color w:val="0000EE"/>
        </w:rPr>
        <w:t>Other Compensation</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0"/>
        </w:numPr>
        <w:rPr>
          <w:rFonts w:ascii="Arial" w:cs="Arial" w:eastAsia="Arial" w:hAnsi="Arial"/>
          <w:sz w:val="16"/>
          <w:szCs w:val="16"/>
          <w:b w:val="1"/>
          <w:bCs w:val="1"/>
          <w:color w:val="auto"/>
        </w:rPr>
      </w:pPr>
      <w:r>
        <w:rPr>
          <w:rFonts w:ascii="Arial" w:cs="Arial" w:eastAsia="Arial" w:hAnsi="Arial"/>
          <w:sz w:val="16"/>
          <w:szCs w:val="16"/>
          <w:u w:val="single" w:color="auto"/>
          <w:color w:val="0000EE"/>
        </w:rPr>
        <w:t>2025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1803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-141605</wp:posOffset>
            </wp:positionV>
            <wp:extent cx="5966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-321310</wp:posOffset>
            </wp:positionV>
            <wp:extent cx="59664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-501650</wp:posOffset>
            </wp:positionV>
            <wp:extent cx="5966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0" w:lineRule="exact"/>
        <w:rPr>
          <w:sz w:val="20"/>
          <w:szCs w:val="20"/>
          <w:color w:val="auto"/>
        </w:rPr>
      </w:pPr>
    </w:p>
    <w:p>
      <w:pPr>
        <w:ind w:left="780" w:hanging="54"/>
        <w:spacing w:after="0"/>
        <w:tabs>
          <w:tab w:leader="none" w:pos="78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0000EE"/>
        </w:rPr>
        <w:t>Fiscal 2025 Company Performance</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0000EE"/>
        </w:rPr>
        <w:t>Executive Summary</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0000EE"/>
        </w:rPr>
        <w:t>Fiscal 2025 Executive Compensation Highlights</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0000EE"/>
        </w:rPr>
        <w:t>Fiscal 2025 Compensation Decision-Making</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0000EE"/>
        </w:rPr>
        <w:t>Fiscal 2025 Executive Compensation</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0000EE"/>
        </w:rPr>
        <w:t>Post-Merger 2025 Executive Compensation Decisions</w:t>
      </w:r>
    </w:p>
    <w:p>
      <w:pPr>
        <w:spacing w:after="0" w:line="99" w:lineRule="exact"/>
        <w:rPr>
          <w:rFonts w:ascii="Arial" w:cs="Arial" w:eastAsia="Arial" w:hAnsi="Arial"/>
          <w:sz w:val="16"/>
          <w:szCs w:val="16"/>
          <w:b w:val="1"/>
          <w:bCs w:val="1"/>
          <w:color w:val="auto"/>
        </w:rPr>
      </w:pPr>
    </w:p>
    <w:p>
      <w:pPr>
        <w:ind w:left="780" w:hanging="54"/>
        <w:spacing w:after="0"/>
        <w:tabs>
          <w:tab w:leader="none" w:pos="78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0000EE"/>
        </w:rPr>
        <w:t>Compensation Governance, Risk Mitigation and Shareholder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-141605</wp:posOffset>
            </wp:positionV>
            <wp:extent cx="59664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-321310</wp:posOffset>
            </wp:positionV>
            <wp:extent cx="59664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-501650</wp:posOffset>
            </wp:positionV>
            <wp:extent cx="59664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-681355</wp:posOffset>
            </wp:positionV>
            <wp:extent cx="59664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-861695</wp:posOffset>
            </wp:positionV>
            <wp:extent cx="59664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-1041400</wp:posOffset>
            </wp:positionV>
            <wp:extent cx="5966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616585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p>
      <w:pPr>
        <w:spacing w:after="0" w:line="85" w:lineRule="exact"/>
        <w:rPr>
          <w:sz w:val="20"/>
          <w:szCs w:val="20"/>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1</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1</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1</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2</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3</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4</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9</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9</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0000EE"/>
        </w:rPr>
        <w:t>9</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10</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11</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11</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11</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12</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12</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12</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12</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12</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13</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13</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13</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13</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14</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15</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15</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15</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17</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17</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18</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19</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19</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21</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21</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21</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22</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24</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24</w:t>
      </w:r>
      <w:r>
        <w:rPr>
          <w:rFonts w:ascii="Arial" w:cs="Arial" w:eastAsia="Arial" w:hAnsi="Arial"/>
          <w:sz w:val="16"/>
          <w:szCs w:val="16"/>
          <w:b w:val="1"/>
          <w:bCs w:val="1"/>
          <w:color w:val="auto"/>
        </w:rPr>
        <w:t xml:space="preserve"> ​​</w:t>
      </w:r>
    </w:p>
    <w:p>
      <w:pPr>
        <w:spacing w:after="0" w:line="99"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29</w:t>
      </w:r>
      <w:r>
        <w:rPr>
          <w:rFonts w:ascii="Arial" w:cs="Arial" w:eastAsia="Arial" w:hAnsi="Arial"/>
          <w:sz w:val="16"/>
          <w:szCs w:val="16"/>
          <w:b w:val="1"/>
          <w:bCs w:val="1"/>
          <w:color w:val="auto"/>
        </w:rPr>
        <w:t xml:space="preserve"> ​​</w:t>
      </w:r>
    </w:p>
    <w:p>
      <w:pPr>
        <w:spacing w:after="0" w:line="86" w:lineRule="exact"/>
        <w:rPr>
          <w:rFonts w:ascii="Arial" w:cs="Arial" w:eastAsia="Arial" w:hAnsi="Arial"/>
          <w:sz w:val="16"/>
          <w:szCs w:val="16"/>
          <w:b w:val="1"/>
          <w:bCs w:val="1"/>
          <w:color w:val="auto"/>
        </w:rPr>
      </w:pPr>
    </w:p>
    <w:p>
      <w:pPr>
        <w:ind w:left="160" w:hanging="113"/>
        <w:spacing w:after="0"/>
        <w:tabs>
          <w:tab w:leader="none" w:pos="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0000EE"/>
        </w:rPr>
        <w:t>31</w:t>
      </w:r>
      <w:r>
        <w:rPr>
          <w:rFonts w:ascii="Arial" w:cs="Arial" w:eastAsia="Arial" w:hAnsi="Arial"/>
          <w:sz w:val="16"/>
          <w:szCs w:val="16"/>
          <w:b w:val="1"/>
          <w:bCs w:val="1"/>
          <w:color w:val="auto"/>
        </w:rPr>
        <w:t xml:space="preserve"> ​​</w:t>
      </w:r>
    </w:p>
    <w:p>
      <w:pPr>
        <w:sectPr>
          <w:pgSz w:w="11900" w:h="16838" w:orient="portrait"/>
          <w:cols w:equalWidth="0" w:num="2">
            <w:col w:w="8680" w:space="720"/>
            <w:col w:w="660"/>
          </w:cols>
          <w:pgMar w:left="580" w:top="97" w:right="125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367"/>
        </w:trPr>
        <w:tc>
          <w:tcPr>
            <w:tcW w:w="660" w:type="dxa"/>
            <w:vAlign w:val="bottom"/>
          </w:tcPr>
          <w:p>
            <w:pPr>
              <w:spacing w:after="0"/>
              <w:rPr>
                <w:sz w:val="24"/>
                <w:szCs w:val="24"/>
                <w:color w:val="auto"/>
              </w:rPr>
            </w:pPr>
          </w:p>
        </w:tc>
        <w:tc>
          <w:tcPr>
            <w:tcW w:w="8540" w:type="dxa"/>
            <w:vAlign w:val="bottom"/>
            <w:gridSpan w:val="34"/>
          </w:tcPr>
          <w:p>
            <w:pPr>
              <w:jc w:val="center"/>
              <w:ind w:right="83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24"/>
                <w:szCs w:val="24"/>
                <w:color w:val="auto"/>
              </w:rPr>
            </w:pPr>
          </w:p>
        </w:tc>
        <w:tc>
          <w:tcPr>
            <w:tcW w:w="820" w:type="dxa"/>
            <w:vAlign w:val="bottom"/>
            <w:gridSpan w:val="5"/>
          </w:tcPr>
          <w:p>
            <w:pPr>
              <w:ind w:left="12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B2EEDE"/>
          </w:tcPr>
          <w:p>
            <w:pPr>
              <w:spacing w:after="0" w:line="20" w:lineRule="exact"/>
              <w:rPr>
                <w:sz w:val="1"/>
                <w:szCs w:val="1"/>
                <w:color w:val="auto"/>
              </w:rPr>
            </w:pPr>
          </w:p>
        </w:tc>
        <w:tc>
          <w:tcPr>
            <w:tcW w:w="560" w:type="dxa"/>
            <w:vAlign w:val="bottom"/>
            <w:shd w:val="clear" w:color="auto" w:fill="B2EEDE"/>
          </w:tcPr>
          <w:p>
            <w:pPr>
              <w:spacing w:after="0" w:line="20" w:lineRule="exact"/>
              <w:rPr>
                <w:sz w:val="1"/>
                <w:szCs w:val="1"/>
                <w:color w:val="auto"/>
              </w:rPr>
            </w:pPr>
          </w:p>
        </w:tc>
        <w:tc>
          <w:tcPr>
            <w:tcW w:w="160" w:type="dxa"/>
            <w:vAlign w:val="bottom"/>
            <w:shd w:val="clear" w:color="auto" w:fill="B2EEDE"/>
          </w:tcPr>
          <w:p>
            <w:pPr>
              <w:spacing w:after="0" w:line="20" w:lineRule="exact"/>
              <w:rPr>
                <w:sz w:val="1"/>
                <w:szCs w:val="1"/>
                <w:color w:val="auto"/>
              </w:rPr>
            </w:pPr>
          </w:p>
        </w:tc>
        <w:tc>
          <w:tcPr>
            <w:tcW w:w="360" w:type="dxa"/>
            <w:vAlign w:val="bottom"/>
            <w:shd w:val="clear" w:color="auto" w:fill="B2EEDE"/>
          </w:tcPr>
          <w:p>
            <w:pPr>
              <w:spacing w:after="0" w:line="20" w:lineRule="exact"/>
              <w:rPr>
                <w:sz w:val="1"/>
                <w:szCs w:val="1"/>
                <w:color w:val="auto"/>
              </w:rPr>
            </w:pPr>
          </w:p>
        </w:tc>
        <w:tc>
          <w:tcPr>
            <w:tcW w:w="200" w:type="dxa"/>
            <w:vAlign w:val="bottom"/>
            <w:shd w:val="clear" w:color="auto" w:fill="B2EEDE"/>
          </w:tcPr>
          <w:p>
            <w:pPr>
              <w:spacing w:after="0" w:line="20" w:lineRule="exact"/>
              <w:rPr>
                <w:sz w:val="1"/>
                <w:szCs w:val="1"/>
                <w:color w:val="auto"/>
              </w:rPr>
            </w:pPr>
          </w:p>
        </w:tc>
        <w:tc>
          <w:tcPr>
            <w:tcW w:w="80" w:type="dxa"/>
            <w:vAlign w:val="bottom"/>
            <w:shd w:val="clear" w:color="auto" w:fill="B2EEDE"/>
          </w:tcPr>
          <w:p>
            <w:pPr>
              <w:spacing w:after="0" w:line="20" w:lineRule="exact"/>
              <w:rPr>
                <w:sz w:val="1"/>
                <w:szCs w:val="1"/>
                <w:color w:val="auto"/>
              </w:rPr>
            </w:pPr>
          </w:p>
        </w:tc>
        <w:tc>
          <w:tcPr>
            <w:tcW w:w="340" w:type="dxa"/>
            <w:vAlign w:val="bottom"/>
            <w:shd w:val="clear" w:color="auto" w:fill="B2EEDE"/>
          </w:tcPr>
          <w:p>
            <w:pPr>
              <w:spacing w:after="0" w:line="20" w:lineRule="exact"/>
              <w:rPr>
                <w:sz w:val="1"/>
                <w:szCs w:val="1"/>
                <w:color w:val="auto"/>
              </w:rPr>
            </w:pPr>
          </w:p>
        </w:tc>
        <w:tc>
          <w:tcPr>
            <w:tcW w:w="60" w:type="dxa"/>
            <w:vAlign w:val="bottom"/>
            <w:shd w:val="clear" w:color="auto" w:fill="B2EEDE"/>
          </w:tcPr>
          <w:p>
            <w:pPr>
              <w:spacing w:after="0" w:line="20" w:lineRule="exact"/>
              <w:rPr>
                <w:sz w:val="1"/>
                <w:szCs w:val="1"/>
                <w:color w:val="auto"/>
              </w:rPr>
            </w:pPr>
          </w:p>
        </w:tc>
        <w:tc>
          <w:tcPr>
            <w:tcW w:w="60" w:type="dxa"/>
            <w:vAlign w:val="bottom"/>
            <w:shd w:val="clear" w:color="auto" w:fill="B2EEDE"/>
          </w:tcPr>
          <w:p>
            <w:pPr>
              <w:spacing w:after="0" w:line="20" w:lineRule="exact"/>
              <w:rPr>
                <w:sz w:val="1"/>
                <w:szCs w:val="1"/>
                <w:color w:val="auto"/>
              </w:rPr>
            </w:pPr>
          </w:p>
        </w:tc>
        <w:tc>
          <w:tcPr>
            <w:tcW w:w="280" w:type="dxa"/>
            <w:vAlign w:val="bottom"/>
            <w:shd w:val="clear" w:color="auto" w:fill="B2EEDE"/>
          </w:tcPr>
          <w:p>
            <w:pPr>
              <w:spacing w:after="0" w:line="20" w:lineRule="exact"/>
              <w:rPr>
                <w:sz w:val="1"/>
                <w:szCs w:val="1"/>
                <w:color w:val="auto"/>
              </w:rPr>
            </w:pPr>
          </w:p>
        </w:tc>
        <w:tc>
          <w:tcPr>
            <w:tcW w:w="80" w:type="dxa"/>
            <w:vAlign w:val="bottom"/>
            <w:shd w:val="clear" w:color="auto" w:fill="B2EEDE"/>
          </w:tcPr>
          <w:p>
            <w:pPr>
              <w:spacing w:after="0" w:line="20" w:lineRule="exact"/>
              <w:rPr>
                <w:sz w:val="1"/>
                <w:szCs w:val="1"/>
                <w:color w:val="auto"/>
              </w:rPr>
            </w:pPr>
          </w:p>
        </w:tc>
        <w:tc>
          <w:tcPr>
            <w:tcW w:w="40" w:type="dxa"/>
            <w:vAlign w:val="bottom"/>
            <w:shd w:val="clear" w:color="auto" w:fill="B2EEDE"/>
          </w:tcPr>
          <w:p>
            <w:pPr>
              <w:spacing w:after="0" w:line="20" w:lineRule="exact"/>
              <w:rPr>
                <w:sz w:val="1"/>
                <w:szCs w:val="1"/>
                <w:color w:val="auto"/>
              </w:rPr>
            </w:pPr>
          </w:p>
        </w:tc>
        <w:tc>
          <w:tcPr>
            <w:tcW w:w="280" w:type="dxa"/>
            <w:vAlign w:val="bottom"/>
            <w:shd w:val="clear" w:color="auto" w:fill="B2EEDE"/>
          </w:tcPr>
          <w:p>
            <w:pPr>
              <w:spacing w:after="0" w:line="20" w:lineRule="exact"/>
              <w:rPr>
                <w:sz w:val="1"/>
                <w:szCs w:val="1"/>
                <w:color w:val="auto"/>
              </w:rPr>
            </w:pPr>
          </w:p>
        </w:tc>
        <w:tc>
          <w:tcPr>
            <w:tcW w:w="220" w:type="dxa"/>
            <w:vAlign w:val="bottom"/>
            <w:shd w:val="clear" w:color="auto" w:fill="B2EEDE"/>
          </w:tcPr>
          <w:p>
            <w:pPr>
              <w:spacing w:after="0" w:line="20" w:lineRule="exact"/>
              <w:rPr>
                <w:sz w:val="1"/>
                <w:szCs w:val="1"/>
                <w:color w:val="auto"/>
              </w:rPr>
            </w:pPr>
          </w:p>
        </w:tc>
        <w:tc>
          <w:tcPr>
            <w:tcW w:w="80" w:type="dxa"/>
            <w:vAlign w:val="bottom"/>
            <w:shd w:val="clear" w:color="auto" w:fill="B2EEDE"/>
          </w:tcPr>
          <w:p>
            <w:pPr>
              <w:spacing w:after="0" w:line="20" w:lineRule="exact"/>
              <w:rPr>
                <w:sz w:val="1"/>
                <w:szCs w:val="1"/>
                <w:color w:val="auto"/>
              </w:rPr>
            </w:pPr>
          </w:p>
        </w:tc>
        <w:tc>
          <w:tcPr>
            <w:tcW w:w="120" w:type="dxa"/>
            <w:vAlign w:val="bottom"/>
            <w:shd w:val="clear" w:color="auto" w:fill="B2EEDE"/>
          </w:tcPr>
          <w:p>
            <w:pPr>
              <w:spacing w:after="0" w:line="20" w:lineRule="exact"/>
              <w:rPr>
                <w:sz w:val="1"/>
                <w:szCs w:val="1"/>
                <w:color w:val="auto"/>
              </w:rPr>
            </w:pPr>
          </w:p>
        </w:tc>
        <w:tc>
          <w:tcPr>
            <w:tcW w:w="80" w:type="dxa"/>
            <w:vAlign w:val="bottom"/>
            <w:shd w:val="clear" w:color="auto" w:fill="B2EEDE"/>
          </w:tcPr>
          <w:p>
            <w:pPr>
              <w:spacing w:after="0" w:line="20" w:lineRule="exact"/>
              <w:rPr>
                <w:sz w:val="1"/>
                <w:szCs w:val="1"/>
                <w:color w:val="auto"/>
              </w:rPr>
            </w:pPr>
          </w:p>
        </w:tc>
        <w:tc>
          <w:tcPr>
            <w:tcW w:w="20" w:type="dxa"/>
            <w:vAlign w:val="bottom"/>
            <w:shd w:val="clear" w:color="auto" w:fill="B2EEDE"/>
          </w:tcPr>
          <w:p>
            <w:pPr>
              <w:spacing w:after="0" w:line="20" w:lineRule="exact"/>
              <w:rPr>
                <w:sz w:val="1"/>
                <w:szCs w:val="1"/>
                <w:color w:val="auto"/>
              </w:rPr>
            </w:pPr>
          </w:p>
        </w:tc>
        <w:tc>
          <w:tcPr>
            <w:tcW w:w="180" w:type="dxa"/>
            <w:vAlign w:val="bottom"/>
            <w:shd w:val="clear" w:color="auto" w:fill="B2EEDE"/>
          </w:tcPr>
          <w:p>
            <w:pPr>
              <w:spacing w:after="0" w:line="20" w:lineRule="exact"/>
              <w:rPr>
                <w:sz w:val="1"/>
                <w:szCs w:val="1"/>
                <w:color w:val="auto"/>
              </w:rPr>
            </w:pPr>
          </w:p>
        </w:tc>
        <w:tc>
          <w:tcPr>
            <w:tcW w:w="60" w:type="dxa"/>
            <w:vAlign w:val="bottom"/>
            <w:shd w:val="clear" w:color="auto" w:fill="B2EEDE"/>
          </w:tcPr>
          <w:p>
            <w:pPr>
              <w:spacing w:after="0" w:line="20" w:lineRule="exact"/>
              <w:rPr>
                <w:sz w:val="1"/>
                <w:szCs w:val="1"/>
                <w:color w:val="auto"/>
              </w:rPr>
            </w:pPr>
          </w:p>
        </w:tc>
        <w:tc>
          <w:tcPr>
            <w:tcW w:w="200" w:type="dxa"/>
            <w:vAlign w:val="bottom"/>
            <w:shd w:val="clear" w:color="auto" w:fill="B2EEDE"/>
          </w:tcPr>
          <w:p>
            <w:pPr>
              <w:spacing w:after="0" w:line="20" w:lineRule="exact"/>
              <w:rPr>
                <w:sz w:val="1"/>
                <w:szCs w:val="1"/>
                <w:color w:val="auto"/>
              </w:rPr>
            </w:pPr>
          </w:p>
        </w:tc>
        <w:tc>
          <w:tcPr>
            <w:tcW w:w="80" w:type="dxa"/>
            <w:vAlign w:val="bottom"/>
            <w:shd w:val="clear" w:color="auto" w:fill="B2EEDE"/>
          </w:tcPr>
          <w:p>
            <w:pPr>
              <w:spacing w:after="0" w:line="20" w:lineRule="exact"/>
              <w:rPr>
                <w:sz w:val="1"/>
                <w:szCs w:val="1"/>
                <w:color w:val="auto"/>
              </w:rPr>
            </w:pPr>
          </w:p>
        </w:tc>
        <w:tc>
          <w:tcPr>
            <w:tcW w:w="100" w:type="dxa"/>
            <w:vAlign w:val="bottom"/>
            <w:shd w:val="clear" w:color="auto" w:fill="B2EEDE"/>
          </w:tcPr>
          <w:p>
            <w:pPr>
              <w:spacing w:after="0" w:line="20" w:lineRule="exact"/>
              <w:rPr>
                <w:sz w:val="1"/>
                <w:szCs w:val="1"/>
                <w:color w:val="auto"/>
              </w:rPr>
            </w:pPr>
          </w:p>
        </w:tc>
        <w:tc>
          <w:tcPr>
            <w:tcW w:w="540" w:type="dxa"/>
            <w:vAlign w:val="bottom"/>
            <w:shd w:val="clear" w:color="auto" w:fill="B2EEDE"/>
          </w:tcPr>
          <w:p>
            <w:pPr>
              <w:spacing w:after="0" w:line="20" w:lineRule="exact"/>
              <w:rPr>
                <w:sz w:val="1"/>
                <w:szCs w:val="1"/>
                <w:color w:val="auto"/>
              </w:rPr>
            </w:pPr>
          </w:p>
        </w:tc>
        <w:tc>
          <w:tcPr>
            <w:tcW w:w="40" w:type="dxa"/>
            <w:vAlign w:val="bottom"/>
            <w:shd w:val="clear" w:color="auto" w:fill="B2EEDE"/>
          </w:tcPr>
          <w:p>
            <w:pPr>
              <w:spacing w:after="0" w:line="20" w:lineRule="exact"/>
              <w:rPr>
                <w:sz w:val="1"/>
                <w:szCs w:val="1"/>
                <w:color w:val="auto"/>
              </w:rPr>
            </w:pPr>
          </w:p>
        </w:tc>
        <w:tc>
          <w:tcPr>
            <w:tcW w:w="60" w:type="dxa"/>
            <w:vAlign w:val="bottom"/>
            <w:shd w:val="clear" w:color="auto" w:fill="B2EEDE"/>
          </w:tcPr>
          <w:p>
            <w:pPr>
              <w:spacing w:after="0" w:line="20" w:lineRule="exact"/>
              <w:rPr>
                <w:sz w:val="1"/>
                <w:szCs w:val="1"/>
                <w:color w:val="auto"/>
              </w:rPr>
            </w:pPr>
          </w:p>
        </w:tc>
        <w:tc>
          <w:tcPr>
            <w:tcW w:w="360" w:type="dxa"/>
            <w:vAlign w:val="bottom"/>
            <w:shd w:val="clear" w:color="auto" w:fill="B2EEDE"/>
          </w:tcPr>
          <w:p>
            <w:pPr>
              <w:spacing w:after="0" w:line="20" w:lineRule="exact"/>
              <w:rPr>
                <w:sz w:val="1"/>
                <w:szCs w:val="1"/>
                <w:color w:val="auto"/>
              </w:rPr>
            </w:pPr>
          </w:p>
        </w:tc>
        <w:tc>
          <w:tcPr>
            <w:tcW w:w="100" w:type="dxa"/>
            <w:vAlign w:val="bottom"/>
            <w:shd w:val="clear" w:color="auto" w:fill="B2EEDE"/>
          </w:tcPr>
          <w:p>
            <w:pPr>
              <w:spacing w:after="0" w:line="20" w:lineRule="exact"/>
              <w:rPr>
                <w:sz w:val="1"/>
                <w:szCs w:val="1"/>
                <w:color w:val="auto"/>
              </w:rPr>
            </w:pPr>
          </w:p>
        </w:tc>
        <w:tc>
          <w:tcPr>
            <w:tcW w:w="1080" w:type="dxa"/>
            <w:vAlign w:val="bottom"/>
            <w:shd w:val="clear" w:color="auto" w:fill="B2EEDE"/>
          </w:tcPr>
          <w:p>
            <w:pPr>
              <w:spacing w:after="0" w:line="20" w:lineRule="exact"/>
              <w:rPr>
                <w:sz w:val="1"/>
                <w:szCs w:val="1"/>
                <w:color w:val="auto"/>
              </w:rPr>
            </w:pPr>
          </w:p>
        </w:tc>
        <w:tc>
          <w:tcPr>
            <w:tcW w:w="200" w:type="dxa"/>
            <w:vAlign w:val="bottom"/>
            <w:shd w:val="clear" w:color="auto" w:fill="B2EEDE"/>
          </w:tcPr>
          <w:p>
            <w:pPr>
              <w:spacing w:after="0" w:line="20" w:lineRule="exact"/>
              <w:rPr>
                <w:sz w:val="1"/>
                <w:szCs w:val="1"/>
                <w:color w:val="auto"/>
              </w:rPr>
            </w:pPr>
          </w:p>
        </w:tc>
        <w:tc>
          <w:tcPr>
            <w:tcW w:w="500" w:type="dxa"/>
            <w:vAlign w:val="bottom"/>
            <w:shd w:val="clear" w:color="auto" w:fill="B2EEDE"/>
          </w:tcPr>
          <w:p>
            <w:pPr>
              <w:spacing w:after="0" w:line="20" w:lineRule="exact"/>
              <w:rPr>
                <w:sz w:val="1"/>
                <w:szCs w:val="1"/>
                <w:color w:val="auto"/>
              </w:rPr>
            </w:pPr>
          </w:p>
        </w:tc>
        <w:tc>
          <w:tcPr>
            <w:tcW w:w="200" w:type="dxa"/>
            <w:vAlign w:val="bottom"/>
            <w:shd w:val="clear" w:color="auto" w:fill="B2EEDE"/>
          </w:tcPr>
          <w:p>
            <w:pPr>
              <w:spacing w:after="0" w:line="20" w:lineRule="exact"/>
              <w:rPr>
                <w:sz w:val="1"/>
                <w:szCs w:val="1"/>
                <w:color w:val="auto"/>
              </w:rPr>
            </w:pPr>
          </w:p>
        </w:tc>
        <w:tc>
          <w:tcPr>
            <w:tcW w:w="900" w:type="dxa"/>
            <w:vAlign w:val="bottom"/>
            <w:shd w:val="clear" w:color="auto" w:fill="B2EEDE"/>
          </w:tcPr>
          <w:p>
            <w:pPr>
              <w:spacing w:after="0" w:line="20" w:lineRule="exact"/>
              <w:rPr>
                <w:sz w:val="1"/>
                <w:szCs w:val="1"/>
                <w:color w:val="auto"/>
              </w:rPr>
            </w:pPr>
          </w:p>
        </w:tc>
        <w:tc>
          <w:tcPr>
            <w:tcW w:w="800" w:type="dxa"/>
            <w:vAlign w:val="bottom"/>
            <w:shd w:val="clear" w:color="auto" w:fill="B2EEDE"/>
          </w:tcPr>
          <w:p>
            <w:pPr>
              <w:spacing w:after="0" w:line="20" w:lineRule="exact"/>
              <w:rPr>
                <w:sz w:val="1"/>
                <w:szCs w:val="1"/>
                <w:color w:val="auto"/>
              </w:rPr>
            </w:pPr>
          </w:p>
        </w:tc>
        <w:tc>
          <w:tcPr>
            <w:tcW w:w="40" w:type="dxa"/>
            <w:vAlign w:val="bottom"/>
            <w:shd w:val="clear" w:color="auto" w:fill="B2EEDE"/>
          </w:tcPr>
          <w:p>
            <w:pPr>
              <w:spacing w:after="0" w:line="20" w:lineRule="exact"/>
              <w:rPr>
                <w:sz w:val="1"/>
                <w:szCs w:val="1"/>
                <w:color w:val="auto"/>
              </w:rPr>
            </w:pPr>
          </w:p>
        </w:tc>
        <w:tc>
          <w:tcPr>
            <w:tcW w:w="300" w:type="dxa"/>
            <w:vAlign w:val="bottom"/>
            <w:shd w:val="clear" w:color="auto" w:fill="B2EEDE"/>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60" w:type="dxa"/>
            <w:vAlign w:val="bottom"/>
            <w:shd w:val="clear" w:color="auto" w:fill="CCCCCC"/>
          </w:tcPr>
          <w:p>
            <w:pPr>
              <w:spacing w:after="0" w:line="20" w:lineRule="exact"/>
              <w:rPr>
                <w:sz w:val="1"/>
                <w:szCs w:val="1"/>
                <w:color w:val="auto"/>
              </w:rPr>
            </w:pPr>
          </w:p>
        </w:tc>
        <w:tc>
          <w:tcPr>
            <w:tcW w:w="240" w:type="dxa"/>
            <w:vAlign w:val="bottom"/>
            <w:tcBorders>
              <w:right w:val="single" w:sz="8" w:color="CCCCCC"/>
            </w:tcBorders>
            <w:shd w:val="clear" w:color="auto" w:fill="CCCCCC"/>
          </w:tcPr>
          <w:p>
            <w:pPr>
              <w:spacing w:after="0" w:line="20" w:lineRule="exact"/>
              <w:rPr>
                <w:sz w:val="1"/>
                <w:szCs w:val="1"/>
                <w:color w:val="auto"/>
              </w:rPr>
            </w:pPr>
          </w:p>
        </w:tc>
        <w:tc>
          <w:tcPr>
            <w:tcW w:w="100" w:type="dxa"/>
            <w:vAlign w:val="bottom"/>
            <w:shd w:val="clear" w:color="auto" w:fill="B2EED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20" w:type="dxa"/>
            <w:vAlign w:val="bottom"/>
            <w:shd w:val="clear" w:color="auto" w:fill="B2EEDE"/>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8420" w:type="dxa"/>
            <w:vAlign w:val="bottom"/>
            <w:gridSpan w:val="33"/>
            <w:shd w:val="clear" w:color="auto" w:fill="B2EEDE"/>
          </w:tcPr>
          <w:p>
            <w:pPr>
              <w:spacing w:after="0" w:line="183" w:lineRule="exact"/>
              <w:rPr>
                <w:sz w:val="20"/>
                <w:szCs w:val="20"/>
                <w:color w:val="auto"/>
              </w:rPr>
            </w:pPr>
            <w:r>
              <w:rPr>
                <w:rFonts w:ascii="Arial" w:cs="Arial" w:eastAsia="Arial" w:hAnsi="Arial"/>
                <w:sz w:val="16"/>
                <w:szCs w:val="16"/>
                <w:b w:val="1"/>
                <w:bCs w:val="1"/>
                <w:color w:val="0000EE"/>
              </w:rPr>
              <w:t>HUMAN RESOURCES AND COMPENSATION COMMITTEE REPORT ON EXECUTIVE COMPENSATION</w:t>
            </w:r>
          </w:p>
        </w:tc>
        <w:tc>
          <w:tcPr>
            <w:tcW w:w="40" w:type="dxa"/>
            <w:vAlign w:val="bottom"/>
            <w:shd w:val="clear" w:color="auto" w:fill="B2EEDE"/>
          </w:tcPr>
          <w:p>
            <w:pPr>
              <w:spacing w:after="0"/>
              <w:rPr>
                <w:sz w:val="21"/>
                <w:szCs w:val="21"/>
                <w:color w:val="auto"/>
              </w:rPr>
            </w:pPr>
          </w:p>
        </w:tc>
        <w:tc>
          <w:tcPr>
            <w:tcW w:w="820" w:type="dxa"/>
            <w:vAlign w:val="bottom"/>
            <w:gridSpan w:val="5"/>
            <w:shd w:val="clear" w:color="auto" w:fill="B2EEDE"/>
          </w:tcPr>
          <w:p>
            <w:pPr>
              <w:ind w:left="180"/>
              <w:spacing w:after="0" w:line="183"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32</w:t>
            </w:r>
            <w:r>
              <w:rPr>
                <w:rFonts w:ascii="Arial" w:cs="Arial" w:eastAsia="Arial" w:hAnsi="Arial"/>
                <w:sz w:val="16"/>
                <w:szCs w:val="16"/>
                <w:b w:val="1"/>
                <w:bCs w:val="1"/>
                <w:color w:val="auto"/>
              </w:rPr>
              <w:t xml:space="preserve">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560" w:type="dxa"/>
            <w:vAlign w:val="bottom"/>
            <w:tcBorders>
              <w:top w:val="single" w:sz="8" w:color="0000EE"/>
            </w:tcBorders>
            <w:shd w:val="clear" w:color="auto" w:fill="CCCCCC"/>
          </w:tcPr>
          <w:p>
            <w:pPr>
              <w:spacing w:after="0" w:line="20" w:lineRule="exact"/>
              <w:rPr>
                <w:sz w:val="1"/>
                <w:szCs w:val="1"/>
                <w:color w:val="auto"/>
              </w:rPr>
            </w:pPr>
          </w:p>
        </w:tc>
        <w:tc>
          <w:tcPr>
            <w:tcW w:w="1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34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4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2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1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20" w:type="dxa"/>
            <w:vAlign w:val="bottom"/>
            <w:tcBorders>
              <w:top w:val="single" w:sz="8" w:color="0000EE"/>
            </w:tcBorders>
            <w:shd w:val="clear" w:color="auto" w:fill="CCCCCC"/>
          </w:tcPr>
          <w:p>
            <w:pPr>
              <w:spacing w:after="0" w:line="20" w:lineRule="exact"/>
              <w:rPr>
                <w:sz w:val="1"/>
                <w:szCs w:val="1"/>
                <w:color w:val="auto"/>
              </w:rPr>
            </w:pPr>
          </w:p>
        </w:tc>
        <w:tc>
          <w:tcPr>
            <w:tcW w:w="18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100" w:type="dxa"/>
            <w:vAlign w:val="bottom"/>
            <w:tcBorders>
              <w:top w:val="single" w:sz="8" w:color="0000EE"/>
            </w:tcBorders>
            <w:shd w:val="clear" w:color="auto" w:fill="CCCCCC"/>
          </w:tcPr>
          <w:p>
            <w:pPr>
              <w:spacing w:after="0" w:line="20" w:lineRule="exact"/>
              <w:rPr>
                <w:sz w:val="1"/>
                <w:szCs w:val="1"/>
                <w:color w:val="auto"/>
              </w:rPr>
            </w:pPr>
          </w:p>
        </w:tc>
        <w:tc>
          <w:tcPr>
            <w:tcW w:w="540" w:type="dxa"/>
            <w:vAlign w:val="bottom"/>
            <w:tcBorders>
              <w:top w:val="single" w:sz="8" w:color="0000EE"/>
            </w:tcBorders>
            <w:shd w:val="clear" w:color="auto" w:fill="CCCCCC"/>
          </w:tcPr>
          <w:p>
            <w:pPr>
              <w:spacing w:after="0" w:line="20" w:lineRule="exact"/>
              <w:rPr>
                <w:sz w:val="1"/>
                <w:szCs w:val="1"/>
                <w:color w:val="auto"/>
              </w:rPr>
            </w:pPr>
          </w:p>
        </w:tc>
        <w:tc>
          <w:tcPr>
            <w:tcW w:w="4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100" w:type="dxa"/>
            <w:vAlign w:val="bottom"/>
            <w:tcBorders>
              <w:top w:val="single" w:sz="8" w:color="0000EE"/>
            </w:tcBorders>
            <w:shd w:val="clear" w:color="auto" w:fill="CCCCCC"/>
          </w:tcPr>
          <w:p>
            <w:pPr>
              <w:spacing w:after="0" w:line="20" w:lineRule="exact"/>
              <w:rPr>
                <w:sz w:val="1"/>
                <w:szCs w:val="1"/>
                <w:color w:val="auto"/>
              </w:rPr>
            </w:pPr>
          </w:p>
        </w:tc>
        <w:tc>
          <w:tcPr>
            <w:tcW w:w="108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50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900" w:type="dxa"/>
            <w:vAlign w:val="bottom"/>
            <w:tcBorders>
              <w:top w:val="single" w:sz="8" w:color="0000EE"/>
            </w:tcBorders>
            <w:shd w:val="clear" w:color="auto" w:fill="CCCCCC"/>
          </w:tcPr>
          <w:p>
            <w:pPr>
              <w:spacing w:after="0" w:line="20" w:lineRule="exact"/>
              <w:rPr>
                <w:sz w:val="1"/>
                <w:szCs w:val="1"/>
                <w:color w:val="auto"/>
              </w:rPr>
            </w:pPr>
          </w:p>
        </w:tc>
        <w:tc>
          <w:tcPr>
            <w:tcW w:w="80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30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40" w:type="dxa"/>
            <w:vAlign w:val="bottom"/>
            <w:tcBorders>
              <w:top w:val="single" w:sz="8" w:color="0000EE"/>
              <w:right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20"/>
                <w:szCs w:val="20"/>
                <w:color w:val="auto"/>
              </w:rPr>
            </w:pPr>
          </w:p>
        </w:tc>
        <w:tc>
          <w:tcPr>
            <w:tcW w:w="120" w:type="dxa"/>
            <w:vAlign w:val="bottom"/>
            <w:shd w:val="clear" w:color="auto" w:fill="B2EEDE"/>
          </w:tcPr>
          <w:p>
            <w:pPr>
              <w:jc w:val="center"/>
              <w:spacing w:after="0" w:line="169" w:lineRule="exact"/>
              <w:rPr>
                <w:sz w:val="20"/>
                <w:szCs w:val="20"/>
                <w:color w:val="auto"/>
              </w:rPr>
            </w:pPr>
            <w:r>
              <w:rPr>
                <w:rFonts w:ascii="Arial" w:cs="Arial" w:eastAsia="Arial" w:hAnsi="Arial"/>
                <w:sz w:val="16"/>
                <w:szCs w:val="16"/>
                <w:b w:val="1"/>
                <w:bCs w:val="1"/>
                <w:color w:val="auto"/>
              </w:rPr>
              <w:t>​</w:t>
            </w:r>
          </w:p>
        </w:tc>
        <w:tc>
          <w:tcPr>
            <w:tcW w:w="7620" w:type="dxa"/>
            <w:vAlign w:val="bottom"/>
            <w:gridSpan w:val="32"/>
            <w:shd w:val="clear" w:color="auto" w:fill="B2EEDE"/>
          </w:tcPr>
          <w:p>
            <w:pPr>
              <w:spacing w:after="0" w:line="169" w:lineRule="exact"/>
              <w:rPr>
                <w:sz w:val="20"/>
                <w:szCs w:val="20"/>
                <w:color w:val="auto"/>
              </w:rPr>
            </w:pPr>
            <w:r>
              <w:rPr>
                <w:rFonts w:ascii="Arial" w:cs="Arial" w:eastAsia="Arial" w:hAnsi="Arial"/>
                <w:sz w:val="16"/>
                <w:szCs w:val="16"/>
                <w:b w:val="1"/>
                <w:bCs w:val="1"/>
                <w:color w:val="0000EE"/>
              </w:rPr>
              <w:t>EXECUTIVE COMPENSATION</w:t>
            </w:r>
          </w:p>
        </w:tc>
        <w:tc>
          <w:tcPr>
            <w:tcW w:w="800" w:type="dxa"/>
            <w:vAlign w:val="bottom"/>
            <w:shd w:val="clear" w:color="auto" w:fill="B2EEDE"/>
          </w:tcPr>
          <w:p>
            <w:pPr>
              <w:spacing w:after="0"/>
              <w:rPr>
                <w:sz w:val="20"/>
                <w:szCs w:val="20"/>
                <w:color w:val="auto"/>
              </w:rPr>
            </w:pPr>
          </w:p>
        </w:tc>
        <w:tc>
          <w:tcPr>
            <w:tcW w:w="40" w:type="dxa"/>
            <w:vAlign w:val="bottom"/>
            <w:shd w:val="clear" w:color="auto" w:fill="B2EEDE"/>
          </w:tcPr>
          <w:p>
            <w:pPr>
              <w:spacing w:after="0"/>
              <w:rPr>
                <w:sz w:val="20"/>
                <w:szCs w:val="20"/>
                <w:color w:val="auto"/>
              </w:rPr>
            </w:pPr>
          </w:p>
        </w:tc>
        <w:tc>
          <w:tcPr>
            <w:tcW w:w="820" w:type="dxa"/>
            <w:vAlign w:val="bottom"/>
            <w:gridSpan w:val="5"/>
            <w:shd w:val="clear" w:color="auto" w:fill="B2EEDE"/>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33</w:t>
            </w:r>
            <w:r>
              <w:rPr>
                <w:rFonts w:ascii="Arial" w:cs="Arial" w:eastAsia="Arial" w:hAnsi="Arial"/>
                <w:sz w:val="16"/>
                <w:szCs w:val="16"/>
                <w:b w:val="1"/>
                <w:bCs w:val="1"/>
                <w:color w:val="auto"/>
              </w:rPr>
              <w:t xml:space="preserve"> ​​</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560" w:type="dxa"/>
            <w:vAlign w:val="bottom"/>
            <w:tcBorders>
              <w:top w:val="single" w:sz="8" w:color="0000EE"/>
            </w:tcBorders>
            <w:shd w:val="clear" w:color="auto" w:fill="CCCCCC"/>
          </w:tcPr>
          <w:p>
            <w:pPr>
              <w:spacing w:after="0" w:line="20" w:lineRule="exact"/>
              <w:rPr>
                <w:sz w:val="1"/>
                <w:szCs w:val="1"/>
                <w:color w:val="auto"/>
              </w:rPr>
            </w:pPr>
          </w:p>
        </w:tc>
        <w:tc>
          <w:tcPr>
            <w:tcW w:w="1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34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4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B2EEDE"/>
            </w:tcBorders>
            <w:shd w:val="clear" w:color="auto" w:fill="CCCCCC"/>
          </w:tcPr>
          <w:p>
            <w:pPr>
              <w:spacing w:after="0" w:line="20" w:lineRule="exact"/>
              <w:rPr>
                <w:sz w:val="1"/>
                <w:szCs w:val="1"/>
                <w:color w:val="auto"/>
              </w:rPr>
            </w:pPr>
          </w:p>
        </w:tc>
        <w:tc>
          <w:tcPr>
            <w:tcW w:w="22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20" w:type="dxa"/>
            <w:vAlign w:val="bottom"/>
            <w:tcBorders>
              <w:top w:val="single" w:sz="8" w:color="B2EEDE"/>
            </w:tcBorders>
            <w:shd w:val="clear" w:color="auto" w:fill="CCCCCC"/>
          </w:tcPr>
          <w:p>
            <w:pPr>
              <w:spacing w:after="0" w:line="20" w:lineRule="exact"/>
              <w:rPr>
                <w:sz w:val="1"/>
                <w:szCs w:val="1"/>
                <w:color w:val="auto"/>
              </w:rPr>
            </w:pPr>
          </w:p>
        </w:tc>
        <w:tc>
          <w:tcPr>
            <w:tcW w:w="18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54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36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108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50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900" w:type="dxa"/>
            <w:vAlign w:val="bottom"/>
            <w:tcBorders>
              <w:top w:val="single" w:sz="8" w:color="B2EEDE"/>
            </w:tcBorders>
            <w:shd w:val="clear" w:color="auto" w:fill="CCCCCC"/>
          </w:tcPr>
          <w:p>
            <w:pPr>
              <w:spacing w:after="0" w:line="20" w:lineRule="exact"/>
              <w:rPr>
                <w:sz w:val="1"/>
                <w:szCs w:val="1"/>
                <w:color w:val="auto"/>
              </w:rPr>
            </w:pPr>
          </w:p>
        </w:tc>
        <w:tc>
          <w:tcPr>
            <w:tcW w:w="80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30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40" w:type="dxa"/>
            <w:vAlign w:val="bottom"/>
            <w:tcBorders>
              <w:top w:val="single" w:sz="8" w:color="0000EE"/>
              <w:right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Summary Compensation Table</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33</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280" w:type="dxa"/>
            <w:vAlign w:val="bottom"/>
            <w:tcBorders>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54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Grants of Plan-Based Awards</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0000EE"/>
              </w:rPr>
              <w:t>35</w:t>
            </w:r>
            <w:r>
              <w:rPr>
                <w:rFonts w:ascii="Arial" w:cs="Arial" w:eastAsia="Arial" w:hAnsi="Arial"/>
                <w:sz w:val="16"/>
                <w:szCs w:val="16"/>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280" w:type="dxa"/>
            <w:vAlign w:val="bottom"/>
            <w:tcBorders>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54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Narrative Disclosure to Summary Compensation Table and Grants of Plan-Based Awards Table</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36</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2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1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20" w:type="dxa"/>
            <w:vAlign w:val="bottom"/>
            <w:tcBorders>
              <w:top w:val="single" w:sz="8" w:color="0000EE"/>
              <w:bottom w:val="single" w:sz="8" w:color="CCCCCC"/>
            </w:tcBorders>
          </w:tcPr>
          <w:p>
            <w:pPr>
              <w:spacing w:after="0"/>
              <w:rPr>
                <w:sz w:val="2"/>
                <w:szCs w:val="2"/>
                <w:color w:val="auto"/>
              </w:rPr>
            </w:pPr>
          </w:p>
        </w:tc>
        <w:tc>
          <w:tcPr>
            <w:tcW w:w="18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100" w:type="dxa"/>
            <w:vAlign w:val="bottom"/>
            <w:tcBorders>
              <w:top w:val="single" w:sz="8" w:color="0000EE"/>
              <w:bottom w:val="single" w:sz="8" w:color="CCCCCC"/>
            </w:tcBorders>
          </w:tcPr>
          <w:p>
            <w:pPr>
              <w:spacing w:after="0"/>
              <w:rPr>
                <w:sz w:val="2"/>
                <w:szCs w:val="2"/>
                <w:color w:val="auto"/>
              </w:rPr>
            </w:pPr>
          </w:p>
        </w:tc>
        <w:tc>
          <w:tcPr>
            <w:tcW w:w="54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100" w:type="dxa"/>
            <w:vAlign w:val="bottom"/>
            <w:tcBorders>
              <w:top w:val="single" w:sz="8" w:color="0000EE"/>
              <w:bottom w:val="single" w:sz="8" w:color="CCCCCC"/>
            </w:tcBorders>
          </w:tcPr>
          <w:p>
            <w:pPr>
              <w:spacing w:after="0"/>
              <w:rPr>
                <w:sz w:val="2"/>
                <w:szCs w:val="2"/>
                <w:color w:val="auto"/>
              </w:rPr>
            </w:pPr>
          </w:p>
        </w:tc>
        <w:tc>
          <w:tcPr>
            <w:tcW w:w="108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50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Outstanding Equity Awards at Fiscal Year-End</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37</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2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1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20" w:type="dxa"/>
            <w:vAlign w:val="bottom"/>
            <w:tcBorders>
              <w:top w:val="single" w:sz="8" w:color="0000EE"/>
              <w:bottom w:val="single" w:sz="8" w:color="CCCCCC"/>
            </w:tcBorders>
          </w:tcPr>
          <w:p>
            <w:pPr>
              <w:spacing w:after="0"/>
              <w:rPr>
                <w:sz w:val="2"/>
                <w:szCs w:val="2"/>
                <w:color w:val="auto"/>
              </w:rPr>
            </w:pPr>
          </w:p>
        </w:tc>
        <w:tc>
          <w:tcPr>
            <w:tcW w:w="18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54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Option Exercises and Stock Vested</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39</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54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Non-Qualified Deferred Compensation</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39</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220" w:type="dxa"/>
            <w:vAlign w:val="bottom"/>
            <w:tcBorders>
              <w:top w:val="single" w:sz="8" w:color="0000EE"/>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54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Potential Payments Upon Termination or Change in Control</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40</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2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1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20" w:type="dxa"/>
            <w:vAlign w:val="bottom"/>
            <w:tcBorders>
              <w:top w:val="single" w:sz="8" w:color="0000EE"/>
              <w:bottom w:val="single" w:sz="8" w:color="CCCCCC"/>
            </w:tcBorders>
          </w:tcPr>
          <w:p>
            <w:pPr>
              <w:spacing w:after="0"/>
              <w:rPr>
                <w:sz w:val="2"/>
                <w:szCs w:val="2"/>
                <w:color w:val="auto"/>
              </w:rPr>
            </w:pPr>
          </w:p>
        </w:tc>
        <w:tc>
          <w:tcPr>
            <w:tcW w:w="18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100" w:type="dxa"/>
            <w:vAlign w:val="bottom"/>
            <w:tcBorders>
              <w:top w:val="single" w:sz="8" w:color="0000EE"/>
              <w:bottom w:val="single" w:sz="8" w:color="CCCCCC"/>
            </w:tcBorders>
          </w:tcPr>
          <w:p>
            <w:pPr>
              <w:spacing w:after="0"/>
              <w:rPr>
                <w:sz w:val="2"/>
                <w:szCs w:val="2"/>
                <w:color w:val="auto"/>
              </w:rPr>
            </w:pPr>
          </w:p>
        </w:tc>
        <w:tc>
          <w:tcPr>
            <w:tcW w:w="540" w:type="dxa"/>
            <w:vAlign w:val="bottom"/>
            <w:tcBorders>
              <w:top w:val="single" w:sz="8" w:color="0000EE"/>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CEO Pay Ratio</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44</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3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8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280" w:type="dxa"/>
            <w:vAlign w:val="bottom"/>
            <w:tcBorders>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54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Pay Versus Performance</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44</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8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280" w:type="dxa"/>
            <w:vAlign w:val="bottom"/>
            <w:tcBorders>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54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540" w:type="dxa"/>
            <w:vAlign w:val="bottom"/>
            <w:gridSpan w:val="34"/>
            <w:shd w:val="clear" w:color="auto" w:fill="B2EEDE"/>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00EE"/>
              </w:rPr>
              <w:t>SECURITY OWNERSHIP AND REPORTING</w:t>
            </w:r>
          </w:p>
        </w:tc>
        <w:tc>
          <w:tcPr>
            <w:tcW w:w="40" w:type="dxa"/>
            <w:vAlign w:val="bottom"/>
            <w:shd w:val="clear" w:color="auto" w:fill="B2EEDE"/>
          </w:tcPr>
          <w:p>
            <w:pPr>
              <w:spacing w:after="0"/>
              <w:rPr>
                <w:sz w:val="20"/>
                <w:szCs w:val="20"/>
                <w:color w:val="auto"/>
              </w:rPr>
            </w:pPr>
          </w:p>
        </w:tc>
        <w:tc>
          <w:tcPr>
            <w:tcW w:w="820" w:type="dxa"/>
            <w:vAlign w:val="bottom"/>
            <w:gridSpan w:val="5"/>
            <w:shd w:val="clear" w:color="auto" w:fill="B2EEDE"/>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50</w:t>
            </w:r>
            <w:r>
              <w:rPr>
                <w:rFonts w:ascii="Arial" w:cs="Arial" w:eastAsia="Arial" w:hAnsi="Arial"/>
                <w:sz w:val="16"/>
                <w:szCs w:val="16"/>
                <w:b w:val="1"/>
                <w:bCs w:val="1"/>
                <w:color w:val="auto"/>
              </w:rPr>
              <w:t xml:space="preserve"> ​​</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560" w:type="dxa"/>
            <w:vAlign w:val="bottom"/>
            <w:tcBorders>
              <w:top w:val="single" w:sz="8" w:color="0000EE"/>
            </w:tcBorders>
            <w:shd w:val="clear" w:color="auto" w:fill="CCCCCC"/>
          </w:tcPr>
          <w:p>
            <w:pPr>
              <w:spacing w:after="0" w:line="20" w:lineRule="exact"/>
              <w:rPr>
                <w:sz w:val="1"/>
                <w:szCs w:val="1"/>
                <w:color w:val="auto"/>
              </w:rPr>
            </w:pPr>
          </w:p>
        </w:tc>
        <w:tc>
          <w:tcPr>
            <w:tcW w:w="1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34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4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2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1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20" w:type="dxa"/>
            <w:vAlign w:val="bottom"/>
            <w:tcBorders>
              <w:top w:val="single" w:sz="8" w:color="0000EE"/>
            </w:tcBorders>
            <w:shd w:val="clear" w:color="auto" w:fill="CCCCCC"/>
          </w:tcPr>
          <w:p>
            <w:pPr>
              <w:spacing w:after="0" w:line="20" w:lineRule="exact"/>
              <w:rPr>
                <w:sz w:val="1"/>
                <w:szCs w:val="1"/>
                <w:color w:val="auto"/>
              </w:rPr>
            </w:pPr>
          </w:p>
        </w:tc>
        <w:tc>
          <w:tcPr>
            <w:tcW w:w="18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54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36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108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50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900" w:type="dxa"/>
            <w:vAlign w:val="bottom"/>
            <w:tcBorders>
              <w:top w:val="single" w:sz="8" w:color="B2EEDE"/>
            </w:tcBorders>
            <w:shd w:val="clear" w:color="auto" w:fill="CCCCCC"/>
          </w:tcPr>
          <w:p>
            <w:pPr>
              <w:spacing w:after="0" w:line="20" w:lineRule="exact"/>
              <w:rPr>
                <w:sz w:val="1"/>
                <w:szCs w:val="1"/>
                <w:color w:val="auto"/>
              </w:rPr>
            </w:pPr>
          </w:p>
        </w:tc>
        <w:tc>
          <w:tcPr>
            <w:tcW w:w="80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30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40" w:type="dxa"/>
            <w:vAlign w:val="bottom"/>
            <w:tcBorders>
              <w:top w:val="single" w:sz="8" w:color="0000EE"/>
              <w:right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8540" w:type="dxa"/>
            <w:vAlign w:val="bottom"/>
            <w:gridSpan w:val="34"/>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Security Ownership of Management and Certain Beneficial Owners</w:t>
            </w:r>
          </w:p>
        </w:tc>
        <w:tc>
          <w:tcPr>
            <w:tcW w:w="40" w:type="dxa"/>
            <w:vAlign w:val="bottom"/>
          </w:tcPr>
          <w:p>
            <w:pPr>
              <w:spacing w:after="0"/>
              <w:rPr>
                <w:sz w:val="17"/>
                <w:szCs w:val="17"/>
                <w:color w:val="auto"/>
              </w:rPr>
            </w:pPr>
          </w:p>
        </w:tc>
        <w:tc>
          <w:tcPr>
            <w:tcW w:w="820" w:type="dxa"/>
            <w:vAlign w:val="bottom"/>
            <w:gridSpan w:val="5"/>
          </w:tcPr>
          <w:p>
            <w:pPr>
              <w:ind w:left="180"/>
              <w:spacing w:after="0" w:line="169" w:lineRule="exact"/>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50</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60" w:type="dxa"/>
            <w:vAlign w:val="bottom"/>
            <w:tcBorders>
              <w:top w:val="single" w:sz="8" w:color="0000EE"/>
              <w:bottom w:val="single" w:sz="8" w:color="CCCCCC"/>
            </w:tcBorders>
          </w:tcPr>
          <w:p>
            <w:pPr>
              <w:spacing w:after="0"/>
              <w:rPr>
                <w:sz w:val="2"/>
                <w:szCs w:val="2"/>
                <w:color w:val="auto"/>
              </w:rPr>
            </w:pPr>
          </w:p>
        </w:tc>
        <w:tc>
          <w:tcPr>
            <w:tcW w:w="1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3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280" w:type="dxa"/>
            <w:vAlign w:val="bottom"/>
            <w:tcBorders>
              <w:top w:val="single" w:sz="8" w:color="0000EE"/>
              <w:bottom w:val="single" w:sz="8" w:color="CCCCCC"/>
            </w:tcBorders>
          </w:tcPr>
          <w:p>
            <w:pPr>
              <w:spacing w:after="0"/>
              <w:rPr>
                <w:sz w:val="2"/>
                <w:szCs w:val="2"/>
                <w:color w:val="auto"/>
              </w:rPr>
            </w:pPr>
          </w:p>
        </w:tc>
        <w:tc>
          <w:tcPr>
            <w:tcW w:w="2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12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20" w:type="dxa"/>
            <w:vAlign w:val="bottom"/>
            <w:tcBorders>
              <w:top w:val="single" w:sz="8" w:color="0000EE"/>
              <w:bottom w:val="single" w:sz="8" w:color="CCCCCC"/>
            </w:tcBorders>
          </w:tcPr>
          <w:p>
            <w:pPr>
              <w:spacing w:after="0"/>
              <w:rPr>
                <w:sz w:val="2"/>
                <w:szCs w:val="2"/>
                <w:color w:val="auto"/>
              </w:rPr>
            </w:pPr>
          </w:p>
        </w:tc>
        <w:tc>
          <w:tcPr>
            <w:tcW w:w="18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200" w:type="dxa"/>
            <w:vAlign w:val="bottom"/>
            <w:tcBorders>
              <w:top w:val="single" w:sz="8" w:color="0000EE"/>
              <w:bottom w:val="single" w:sz="8" w:color="CCCCCC"/>
            </w:tcBorders>
          </w:tcPr>
          <w:p>
            <w:pPr>
              <w:spacing w:after="0"/>
              <w:rPr>
                <w:sz w:val="2"/>
                <w:szCs w:val="2"/>
                <w:color w:val="auto"/>
              </w:rPr>
            </w:pPr>
          </w:p>
        </w:tc>
        <w:tc>
          <w:tcPr>
            <w:tcW w:w="80" w:type="dxa"/>
            <w:vAlign w:val="bottom"/>
            <w:tcBorders>
              <w:top w:val="single" w:sz="8" w:color="0000EE"/>
              <w:bottom w:val="single" w:sz="8" w:color="CCCCCC"/>
            </w:tcBorders>
          </w:tcPr>
          <w:p>
            <w:pPr>
              <w:spacing w:after="0"/>
              <w:rPr>
                <w:sz w:val="2"/>
                <w:szCs w:val="2"/>
                <w:color w:val="auto"/>
              </w:rPr>
            </w:pPr>
          </w:p>
        </w:tc>
        <w:tc>
          <w:tcPr>
            <w:tcW w:w="100" w:type="dxa"/>
            <w:vAlign w:val="bottom"/>
            <w:tcBorders>
              <w:top w:val="single" w:sz="8" w:color="0000EE"/>
              <w:bottom w:val="single" w:sz="8" w:color="CCCCCC"/>
            </w:tcBorders>
          </w:tcPr>
          <w:p>
            <w:pPr>
              <w:spacing w:after="0"/>
              <w:rPr>
                <w:sz w:val="2"/>
                <w:szCs w:val="2"/>
                <w:color w:val="auto"/>
              </w:rPr>
            </w:pPr>
          </w:p>
        </w:tc>
        <w:tc>
          <w:tcPr>
            <w:tcW w:w="540" w:type="dxa"/>
            <w:vAlign w:val="bottom"/>
            <w:tcBorders>
              <w:top w:val="single" w:sz="8" w:color="0000EE"/>
              <w:bottom w:val="single" w:sz="8" w:color="CCCCCC"/>
            </w:tcBorders>
          </w:tcPr>
          <w:p>
            <w:pPr>
              <w:spacing w:after="0"/>
              <w:rPr>
                <w:sz w:val="2"/>
                <w:szCs w:val="2"/>
                <w:color w:val="auto"/>
              </w:rPr>
            </w:pPr>
          </w:p>
        </w:tc>
        <w:tc>
          <w:tcPr>
            <w:tcW w:w="40" w:type="dxa"/>
            <w:vAlign w:val="bottom"/>
            <w:tcBorders>
              <w:top w:val="single" w:sz="8" w:color="0000EE"/>
              <w:bottom w:val="single" w:sz="8" w:color="CCCCCC"/>
            </w:tcBorders>
          </w:tcPr>
          <w:p>
            <w:pPr>
              <w:spacing w:after="0"/>
              <w:rPr>
                <w:sz w:val="2"/>
                <w:szCs w:val="2"/>
                <w:color w:val="auto"/>
              </w:rPr>
            </w:pPr>
          </w:p>
        </w:tc>
        <w:tc>
          <w:tcPr>
            <w:tcW w:w="60" w:type="dxa"/>
            <w:vAlign w:val="bottom"/>
            <w:tcBorders>
              <w:top w:val="single" w:sz="8" w:color="0000EE"/>
              <w:bottom w:val="single" w:sz="8" w:color="CCCCCC"/>
            </w:tcBorders>
          </w:tcPr>
          <w:p>
            <w:pPr>
              <w:spacing w:after="0"/>
              <w:rPr>
                <w:sz w:val="2"/>
                <w:szCs w:val="2"/>
                <w:color w:val="auto"/>
              </w:rPr>
            </w:pPr>
          </w:p>
        </w:tc>
        <w:tc>
          <w:tcPr>
            <w:tcW w:w="360" w:type="dxa"/>
            <w:vAlign w:val="bottom"/>
            <w:tcBorders>
              <w:top w:val="single" w:sz="8" w:color="0000EE"/>
              <w:bottom w:val="single" w:sz="8" w:color="CCCCCC"/>
            </w:tcBorders>
          </w:tcPr>
          <w:p>
            <w:pPr>
              <w:spacing w:after="0"/>
              <w:rPr>
                <w:sz w:val="2"/>
                <w:szCs w:val="2"/>
                <w:color w:val="auto"/>
              </w:rPr>
            </w:pPr>
          </w:p>
        </w:tc>
        <w:tc>
          <w:tcPr>
            <w:tcW w:w="100" w:type="dxa"/>
            <w:vAlign w:val="bottom"/>
            <w:tcBorders>
              <w:top w:val="single" w:sz="8" w:color="0000EE"/>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90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30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240" w:type="dxa"/>
            <w:vAlign w:val="bottom"/>
            <w:tcBorders>
              <w:top w:val="single" w:sz="8" w:color="0000EE"/>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540" w:type="dxa"/>
            <w:vAlign w:val="bottom"/>
            <w:gridSpan w:val="34"/>
            <w:shd w:val="clear" w:color="auto" w:fill="B2EEDE"/>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00EE"/>
              </w:rPr>
              <w:t>AUDIT AND AUDIT COMMITTEE MATTERS</w:t>
            </w:r>
          </w:p>
        </w:tc>
        <w:tc>
          <w:tcPr>
            <w:tcW w:w="40" w:type="dxa"/>
            <w:vAlign w:val="bottom"/>
            <w:shd w:val="clear" w:color="auto" w:fill="B2EEDE"/>
          </w:tcPr>
          <w:p>
            <w:pPr>
              <w:spacing w:after="0"/>
              <w:rPr>
                <w:sz w:val="21"/>
                <w:szCs w:val="21"/>
                <w:color w:val="auto"/>
              </w:rPr>
            </w:pPr>
          </w:p>
        </w:tc>
        <w:tc>
          <w:tcPr>
            <w:tcW w:w="820" w:type="dxa"/>
            <w:vAlign w:val="bottom"/>
            <w:gridSpan w:val="5"/>
            <w:shd w:val="clear" w:color="auto" w:fill="B2EEDE"/>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52</w:t>
            </w:r>
            <w:r>
              <w:rPr>
                <w:rFonts w:ascii="Arial" w:cs="Arial" w:eastAsia="Arial" w:hAnsi="Arial"/>
                <w:sz w:val="16"/>
                <w:szCs w:val="16"/>
                <w:b w:val="1"/>
                <w:bCs w:val="1"/>
                <w:color w:val="auto"/>
              </w:rPr>
              <w:t xml:space="preserve">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560" w:type="dxa"/>
            <w:vAlign w:val="bottom"/>
            <w:tcBorders>
              <w:top w:val="single" w:sz="8" w:color="0000EE"/>
            </w:tcBorders>
            <w:shd w:val="clear" w:color="auto" w:fill="CCCCCC"/>
          </w:tcPr>
          <w:p>
            <w:pPr>
              <w:spacing w:after="0" w:line="20" w:lineRule="exact"/>
              <w:rPr>
                <w:sz w:val="1"/>
                <w:szCs w:val="1"/>
                <w:color w:val="auto"/>
              </w:rPr>
            </w:pPr>
          </w:p>
        </w:tc>
        <w:tc>
          <w:tcPr>
            <w:tcW w:w="1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34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4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2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1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20" w:type="dxa"/>
            <w:vAlign w:val="bottom"/>
            <w:tcBorders>
              <w:top w:val="single" w:sz="8" w:color="0000EE"/>
            </w:tcBorders>
            <w:shd w:val="clear" w:color="auto" w:fill="CCCCCC"/>
          </w:tcPr>
          <w:p>
            <w:pPr>
              <w:spacing w:after="0" w:line="20" w:lineRule="exact"/>
              <w:rPr>
                <w:sz w:val="1"/>
                <w:szCs w:val="1"/>
                <w:color w:val="auto"/>
              </w:rPr>
            </w:pPr>
          </w:p>
        </w:tc>
        <w:tc>
          <w:tcPr>
            <w:tcW w:w="18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54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36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108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50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900" w:type="dxa"/>
            <w:vAlign w:val="bottom"/>
            <w:tcBorders>
              <w:top w:val="single" w:sz="8" w:color="B2EEDE"/>
            </w:tcBorders>
            <w:shd w:val="clear" w:color="auto" w:fill="CCCCCC"/>
          </w:tcPr>
          <w:p>
            <w:pPr>
              <w:spacing w:after="0" w:line="20" w:lineRule="exact"/>
              <w:rPr>
                <w:sz w:val="1"/>
                <w:szCs w:val="1"/>
                <w:color w:val="auto"/>
              </w:rPr>
            </w:pPr>
          </w:p>
        </w:tc>
        <w:tc>
          <w:tcPr>
            <w:tcW w:w="80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30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40" w:type="dxa"/>
            <w:vAlign w:val="bottom"/>
            <w:tcBorders>
              <w:top w:val="single" w:sz="8" w:color="0000EE"/>
              <w:right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Audit and Non-Audit Fees</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52</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Policy on Audit Committee Pre-Approval of Audit and Permissible Non-Audit Services</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52</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54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108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Audit Committee Report</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52</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540" w:type="dxa"/>
            <w:vAlign w:val="bottom"/>
            <w:gridSpan w:val="34"/>
            <w:shd w:val="clear" w:color="auto" w:fill="B2EEDE"/>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00EE"/>
              </w:rPr>
              <w:t>EQUITY COMPENSATION PLAN INFORMATION</w:t>
            </w:r>
          </w:p>
        </w:tc>
        <w:tc>
          <w:tcPr>
            <w:tcW w:w="40" w:type="dxa"/>
            <w:vAlign w:val="bottom"/>
            <w:shd w:val="clear" w:color="auto" w:fill="B2EEDE"/>
          </w:tcPr>
          <w:p>
            <w:pPr>
              <w:spacing w:after="0"/>
              <w:rPr>
                <w:sz w:val="21"/>
                <w:szCs w:val="21"/>
                <w:color w:val="auto"/>
              </w:rPr>
            </w:pPr>
          </w:p>
        </w:tc>
        <w:tc>
          <w:tcPr>
            <w:tcW w:w="820" w:type="dxa"/>
            <w:vAlign w:val="bottom"/>
            <w:gridSpan w:val="5"/>
            <w:shd w:val="clear" w:color="auto" w:fill="B2EEDE"/>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54</w:t>
            </w:r>
            <w:r>
              <w:rPr>
                <w:rFonts w:ascii="Arial" w:cs="Arial" w:eastAsia="Arial" w:hAnsi="Arial"/>
                <w:sz w:val="16"/>
                <w:szCs w:val="16"/>
                <w:b w:val="1"/>
                <w:bCs w:val="1"/>
                <w:color w:val="auto"/>
              </w:rPr>
              <w:t xml:space="preserve">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560" w:type="dxa"/>
            <w:vAlign w:val="bottom"/>
            <w:tcBorders>
              <w:top w:val="single" w:sz="8" w:color="0000EE"/>
            </w:tcBorders>
            <w:shd w:val="clear" w:color="auto" w:fill="CCCCCC"/>
          </w:tcPr>
          <w:p>
            <w:pPr>
              <w:spacing w:after="0" w:line="20" w:lineRule="exact"/>
              <w:rPr>
                <w:sz w:val="1"/>
                <w:szCs w:val="1"/>
                <w:color w:val="auto"/>
              </w:rPr>
            </w:pPr>
          </w:p>
        </w:tc>
        <w:tc>
          <w:tcPr>
            <w:tcW w:w="1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34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4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2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1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20" w:type="dxa"/>
            <w:vAlign w:val="bottom"/>
            <w:tcBorders>
              <w:top w:val="single" w:sz="8" w:color="0000EE"/>
            </w:tcBorders>
            <w:shd w:val="clear" w:color="auto" w:fill="CCCCCC"/>
          </w:tcPr>
          <w:p>
            <w:pPr>
              <w:spacing w:after="0" w:line="20" w:lineRule="exact"/>
              <w:rPr>
                <w:sz w:val="1"/>
                <w:szCs w:val="1"/>
                <w:color w:val="auto"/>
              </w:rPr>
            </w:pPr>
          </w:p>
        </w:tc>
        <w:tc>
          <w:tcPr>
            <w:tcW w:w="18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54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36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108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50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900" w:type="dxa"/>
            <w:vAlign w:val="bottom"/>
            <w:tcBorders>
              <w:top w:val="single" w:sz="8" w:color="B2EEDE"/>
            </w:tcBorders>
            <w:shd w:val="clear" w:color="auto" w:fill="CCCCCC"/>
          </w:tcPr>
          <w:p>
            <w:pPr>
              <w:spacing w:after="0" w:line="20" w:lineRule="exact"/>
              <w:rPr>
                <w:sz w:val="1"/>
                <w:szCs w:val="1"/>
                <w:color w:val="auto"/>
              </w:rPr>
            </w:pPr>
          </w:p>
        </w:tc>
        <w:tc>
          <w:tcPr>
            <w:tcW w:w="80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30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40" w:type="dxa"/>
            <w:vAlign w:val="bottom"/>
            <w:tcBorders>
              <w:top w:val="single" w:sz="8" w:color="0000EE"/>
              <w:right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2025 Plan</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54</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3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2024 Plan</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55</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3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540" w:type="dxa"/>
            <w:vAlign w:val="bottom"/>
            <w:gridSpan w:val="34"/>
            <w:shd w:val="clear" w:color="auto" w:fill="B2EEDE"/>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00EE"/>
              </w:rPr>
              <w:t>PROPOSALS REQUIRING YOUR VOTE</w:t>
            </w:r>
          </w:p>
        </w:tc>
        <w:tc>
          <w:tcPr>
            <w:tcW w:w="40" w:type="dxa"/>
            <w:vAlign w:val="bottom"/>
            <w:shd w:val="clear" w:color="auto" w:fill="B2EEDE"/>
          </w:tcPr>
          <w:p>
            <w:pPr>
              <w:spacing w:after="0"/>
              <w:rPr>
                <w:sz w:val="21"/>
                <w:szCs w:val="21"/>
                <w:color w:val="auto"/>
              </w:rPr>
            </w:pPr>
          </w:p>
        </w:tc>
        <w:tc>
          <w:tcPr>
            <w:tcW w:w="820" w:type="dxa"/>
            <w:vAlign w:val="bottom"/>
            <w:gridSpan w:val="5"/>
            <w:shd w:val="clear" w:color="auto" w:fill="B2EEDE"/>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56</w:t>
            </w:r>
            <w:r>
              <w:rPr>
                <w:rFonts w:ascii="Arial" w:cs="Arial" w:eastAsia="Arial" w:hAnsi="Arial"/>
                <w:sz w:val="16"/>
                <w:szCs w:val="16"/>
                <w:b w:val="1"/>
                <w:bCs w:val="1"/>
                <w:color w:val="auto"/>
              </w:rPr>
              <w:t xml:space="preserve">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560" w:type="dxa"/>
            <w:vAlign w:val="bottom"/>
            <w:tcBorders>
              <w:top w:val="single" w:sz="8" w:color="0000EE"/>
            </w:tcBorders>
            <w:shd w:val="clear" w:color="auto" w:fill="CCCCCC"/>
          </w:tcPr>
          <w:p>
            <w:pPr>
              <w:spacing w:after="0" w:line="20" w:lineRule="exact"/>
              <w:rPr>
                <w:sz w:val="1"/>
                <w:szCs w:val="1"/>
                <w:color w:val="auto"/>
              </w:rPr>
            </w:pPr>
          </w:p>
        </w:tc>
        <w:tc>
          <w:tcPr>
            <w:tcW w:w="1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34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6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40" w:type="dxa"/>
            <w:vAlign w:val="bottom"/>
            <w:tcBorders>
              <w:top w:val="single" w:sz="8" w:color="0000EE"/>
            </w:tcBorders>
            <w:shd w:val="clear" w:color="auto" w:fill="CCCCCC"/>
          </w:tcPr>
          <w:p>
            <w:pPr>
              <w:spacing w:after="0" w:line="20" w:lineRule="exact"/>
              <w:rPr>
                <w:sz w:val="1"/>
                <w:szCs w:val="1"/>
                <w:color w:val="auto"/>
              </w:rPr>
            </w:pPr>
          </w:p>
        </w:tc>
        <w:tc>
          <w:tcPr>
            <w:tcW w:w="280" w:type="dxa"/>
            <w:vAlign w:val="bottom"/>
            <w:tcBorders>
              <w:top w:val="single" w:sz="8" w:color="0000EE"/>
            </w:tcBorders>
            <w:shd w:val="clear" w:color="auto" w:fill="CCCCCC"/>
          </w:tcPr>
          <w:p>
            <w:pPr>
              <w:spacing w:after="0" w:line="20" w:lineRule="exact"/>
              <w:rPr>
                <w:sz w:val="1"/>
                <w:szCs w:val="1"/>
                <w:color w:val="auto"/>
              </w:rPr>
            </w:pPr>
          </w:p>
        </w:tc>
        <w:tc>
          <w:tcPr>
            <w:tcW w:w="2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12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20" w:type="dxa"/>
            <w:vAlign w:val="bottom"/>
            <w:tcBorders>
              <w:top w:val="single" w:sz="8" w:color="B2EEDE"/>
            </w:tcBorders>
            <w:shd w:val="clear" w:color="auto" w:fill="CCCCCC"/>
          </w:tcPr>
          <w:p>
            <w:pPr>
              <w:spacing w:after="0" w:line="20" w:lineRule="exact"/>
              <w:rPr>
                <w:sz w:val="1"/>
                <w:szCs w:val="1"/>
                <w:color w:val="auto"/>
              </w:rPr>
            </w:pPr>
          </w:p>
        </w:tc>
        <w:tc>
          <w:tcPr>
            <w:tcW w:w="18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54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36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108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50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900" w:type="dxa"/>
            <w:vAlign w:val="bottom"/>
            <w:tcBorders>
              <w:top w:val="single" w:sz="8" w:color="B2EEDE"/>
            </w:tcBorders>
            <w:shd w:val="clear" w:color="auto" w:fill="CCCCCC"/>
          </w:tcPr>
          <w:p>
            <w:pPr>
              <w:spacing w:after="0" w:line="20" w:lineRule="exact"/>
              <w:rPr>
                <w:sz w:val="1"/>
                <w:szCs w:val="1"/>
                <w:color w:val="auto"/>
              </w:rPr>
            </w:pPr>
          </w:p>
        </w:tc>
        <w:tc>
          <w:tcPr>
            <w:tcW w:w="80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30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40" w:type="dxa"/>
            <w:vAlign w:val="bottom"/>
            <w:tcBorders>
              <w:top w:val="single" w:sz="8" w:color="0000EE"/>
              <w:right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Proposals 1(a) Through 1(i): Election of Directors</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56</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8420" w:type="dxa"/>
            <w:vAlign w:val="bottom"/>
            <w:tcBorders>
              <w:bottom w:val="single" w:sz="8" w:color="0000EE"/>
            </w:tcBorders>
            <w:gridSpan w:val="33"/>
          </w:tcPr>
          <w:p>
            <w:pPr>
              <w:spacing w:after="0" w:line="183" w:lineRule="exact"/>
              <w:rPr>
                <w:sz w:val="20"/>
                <w:szCs w:val="20"/>
                <w:color w:val="auto"/>
              </w:rPr>
            </w:pPr>
            <w:r>
              <w:rPr>
                <w:rFonts w:ascii="Arial" w:cs="Arial" w:eastAsia="Arial" w:hAnsi="Arial"/>
                <w:sz w:val="16"/>
                <w:szCs w:val="16"/>
                <w:color w:val="0000EE"/>
                <w:w w:val="99"/>
              </w:rPr>
              <w:t>Proposal 2: Advisory Non-Binding Vote to Approve The Re-Appointment of The Independent Auditors and Binding Vote</w:t>
            </w:r>
          </w:p>
        </w:tc>
        <w:tc>
          <w:tcPr>
            <w:tcW w:w="40" w:type="dxa"/>
            <w:vAlign w:val="bottom"/>
            <w:vMerge w:val="restart"/>
          </w:tcPr>
          <w:p>
            <w:pPr>
              <w:spacing w:after="0"/>
              <w:rPr>
                <w:sz w:val="17"/>
                <w:szCs w:val="17"/>
                <w:color w:val="auto"/>
              </w:rPr>
            </w:pPr>
          </w:p>
        </w:tc>
        <w:tc>
          <w:tcPr>
            <w:tcW w:w="820" w:type="dxa"/>
            <w:vAlign w:val="bottom"/>
            <w:gridSpan w:val="5"/>
            <w:vMerge w:val="restart"/>
          </w:tcPr>
          <w:p>
            <w:pPr>
              <w:ind w:left="180"/>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0000EE"/>
              </w:rPr>
              <w:t>60</w:t>
            </w:r>
            <w:r>
              <w:rPr>
                <w:rFonts w:ascii="Arial" w:cs="Arial" w:eastAsia="Arial" w:hAnsi="Arial"/>
                <w:sz w:val="16"/>
                <w:szCs w:val="16"/>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420" w:type="dxa"/>
            <w:vAlign w:val="bottom"/>
            <w:gridSpan w:val="33"/>
            <w:vMerge w:val="restart"/>
          </w:tcPr>
          <w:p>
            <w:pPr>
              <w:spacing w:after="0" w:line="155" w:lineRule="exact"/>
              <w:rPr>
                <w:sz w:val="20"/>
                <w:szCs w:val="20"/>
                <w:color w:val="auto"/>
              </w:rPr>
            </w:pPr>
            <w:r>
              <w:rPr>
                <w:rFonts w:ascii="Arial" w:cs="Arial" w:eastAsia="Arial" w:hAnsi="Arial"/>
                <w:sz w:val="16"/>
                <w:szCs w:val="16"/>
                <w:color w:val="0000EE"/>
              </w:rPr>
              <w:t>to Authorize The Audit Committee to Set The Independent Auditors’ Remuneration</w:t>
            </w:r>
          </w:p>
        </w:tc>
        <w:tc>
          <w:tcPr>
            <w:tcW w:w="40" w:type="dxa"/>
            <w:vAlign w:val="bottom"/>
            <w:vMerge w:val="continue"/>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20" w:type="dxa"/>
            <w:vAlign w:val="bottom"/>
            <w:gridSpan w:val="33"/>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54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1080" w:type="dxa"/>
            <w:vAlign w:val="bottom"/>
            <w:tcBorders>
              <w:top w:val="single" w:sz="8" w:color="0000EE"/>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Proposal 3: Advisory Non-Binding Vote to Approve The Company’s Executive Compensation</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61</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54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108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500" w:type="dxa"/>
            <w:vAlign w:val="bottom"/>
            <w:tcBorders>
              <w:top w:val="single" w:sz="8" w:color="0000EE"/>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8420" w:type="dxa"/>
            <w:vAlign w:val="bottom"/>
            <w:tcBorders>
              <w:bottom w:val="single" w:sz="8" w:color="0000EE"/>
            </w:tcBorders>
            <w:gridSpan w:val="33"/>
          </w:tcPr>
          <w:p>
            <w:pPr>
              <w:spacing w:after="0" w:line="183" w:lineRule="exact"/>
              <w:rPr>
                <w:sz w:val="20"/>
                <w:szCs w:val="20"/>
                <w:color w:val="auto"/>
              </w:rPr>
            </w:pPr>
            <w:r>
              <w:rPr>
                <w:rFonts w:ascii="Arial" w:cs="Arial" w:eastAsia="Arial" w:hAnsi="Arial"/>
                <w:sz w:val="16"/>
                <w:szCs w:val="16"/>
                <w:color w:val="0000EE"/>
                <w:w w:val="99"/>
              </w:rPr>
              <w:t>Proposal 4: Advisory Non-Binding Vote on Frequency of Future Advisory Non-binding Votes to Approve The Company’s</w:t>
            </w:r>
          </w:p>
        </w:tc>
        <w:tc>
          <w:tcPr>
            <w:tcW w:w="40" w:type="dxa"/>
            <w:vAlign w:val="bottom"/>
            <w:tcBorders>
              <w:bottom w:val="single" w:sz="8" w:color="0000EE"/>
            </w:tcBorders>
          </w:tcPr>
          <w:p>
            <w:pPr>
              <w:spacing w:after="0"/>
              <w:rPr>
                <w:sz w:val="17"/>
                <w:szCs w:val="17"/>
                <w:color w:val="auto"/>
              </w:rPr>
            </w:pPr>
          </w:p>
        </w:tc>
        <w:tc>
          <w:tcPr>
            <w:tcW w:w="820" w:type="dxa"/>
            <w:vAlign w:val="bottom"/>
            <w:gridSpan w:val="5"/>
            <w:vMerge w:val="restart"/>
          </w:tcPr>
          <w:p>
            <w:pPr>
              <w:ind w:left="180"/>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0000EE"/>
              </w:rPr>
              <w:t>62</w:t>
            </w:r>
            <w:r>
              <w:rPr>
                <w:rFonts w:ascii="Arial" w:cs="Arial" w:eastAsia="Arial" w:hAnsi="Arial"/>
                <w:sz w:val="16"/>
                <w:szCs w:val="16"/>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420" w:type="dxa"/>
            <w:vAlign w:val="bottom"/>
            <w:gridSpan w:val="33"/>
            <w:vMerge w:val="restart"/>
          </w:tcPr>
          <w:p>
            <w:pPr>
              <w:spacing w:after="0" w:line="155" w:lineRule="exact"/>
              <w:rPr>
                <w:sz w:val="20"/>
                <w:szCs w:val="20"/>
                <w:color w:val="auto"/>
              </w:rPr>
            </w:pPr>
            <w:r>
              <w:rPr>
                <w:rFonts w:ascii="Arial" w:cs="Arial" w:eastAsia="Arial" w:hAnsi="Arial"/>
                <w:sz w:val="16"/>
                <w:szCs w:val="16"/>
                <w:color w:val="0000EE"/>
              </w:rPr>
              <w:t>Executive Compensation</w:t>
            </w:r>
          </w:p>
        </w:tc>
        <w:tc>
          <w:tcPr>
            <w:tcW w:w="4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20" w:type="dxa"/>
            <w:vAlign w:val="bottom"/>
            <w:gridSpan w:val="33"/>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Proposal 5: Reduction of Company Capital</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63</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Proposal 6: Amendment to The Company’s Articles of Association</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65</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54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8540" w:type="dxa"/>
            <w:vAlign w:val="bottom"/>
            <w:gridSpan w:val="34"/>
            <w:shd w:val="clear" w:color="auto" w:fill="B2EEDE"/>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00EE"/>
              </w:rPr>
              <w:t>OTHER MATTERS</w:t>
            </w:r>
          </w:p>
        </w:tc>
        <w:tc>
          <w:tcPr>
            <w:tcW w:w="40" w:type="dxa"/>
            <w:vAlign w:val="bottom"/>
            <w:shd w:val="clear" w:color="auto" w:fill="B2EEDE"/>
          </w:tcPr>
          <w:p>
            <w:pPr>
              <w:spacing w:after="0"/>
              <w:rPr>
                <w:sz w:val="21"/>
                <w:szCs w:val="21"/>
                <w:color w:val="auto"/>
              </w:rPr>
            </w:pPr>
          </w:p>
        </w:tc>
        <w:tc>
          <w:tcPr>
            <w:tcW w:w="820" w:type="dxa"/>
            <w:vAlign w:val="bottom"/>
            <w:gridSpan w:val="5"/>
            <w:shd w:val="clear" w:color="auto" w:fill="B2EEDE"/>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69</w:t>
            </w:r>
            <w:r>
              <w:rPr>
                <w:rFonts w:ascii="Arial" w:cs="Arial" w:eastAsia="Arial" w:hAnsi="Arial"/>
                <w:sz w:val="16"/>
                <w:szCs w:val="16"/>
                <w:b w:val="1"/>
                <w:bCs w:val="1"/>
                <w:color w:val="auto"/>
              </w:rPr>
              <w:t xml:space="preserve">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560" w:type="dxa"/>
            <w:vAlign w:val="bottom"/>
            <w:tcBorders>
              <w:top w:val="single" w:sz="8" w:color="0000EE"/>
            </w:tcBorders>
            <w:shd w:val="clear" w:color="auto" w:fill="CCCCCC"/>
          </w:tcPr>
          <w:p>
            <w:pPr>
              <w:spacing w:after="0" w:line="20" w:lineRule="exact"/>
              <w:rPr>
                <w:sz w:val="1"/>
                <w:szCs w:val="1"/>
                <w:color w:val="auto"/>
              </w:rPr>
            </w:pPr>
          </w:p>
        </w:tc>
        <w:tc>
          <w:tcPr>
            <w:tcW w:w="160" w:type="dxa"/>
            <w:vAlign w:val="bottom"/>
            <w:tcBorders>
              <w:top w:val="single" w:sz="8" w:color="0000EE"/>
            </w:tcBorders>
            <w:shd w:val="clear" w:color="auto" w:fill="CCCCCC"/>
          </w:tcPr>
          <w:p>
            <w:pPr>
              <w:spacing w:after="0" w:line="20" w:lineRule="exact"/>
              <w:rPr>
                <w:sz w:val="1"/>
                <w:szCs w:val="1"/>
                <w:color w:val="auto"/>
              </w:rPr>
            </w:pPr>
          </w:p>
        </w:tc>
        <w:tc>
          <w:tcPr>
            <w:tcW w:w="360" w:type="dxa"/>
            <w:vAlign w:val="bottom"/>
            <w:tcBorders>
              <w:top w:val="single" w:sz="8" w:color="0000EE"/>
            </w:tcBorders>
            <w:shd w:val="clear" w:color="auto" w:fill="CCCCCC"/>
          </w:tcPr>
          <w:p>
            <w:pPr>
              <w:spacing w:after="0" w:line="20" w:lineRule="exact"/>
              <w:rPr>
                <w:sz w:val="1"/>
                <w:szCs w:val="1"/>
                <w:color w:val="auto"/>
              </w:rPr>
            </w:pPr>
          </w:p>
        </w:tc>
        <w:tc>
          <w:tcPr>
            <w:tcW w:w="200" w:type="dxa"/>
            <w:vAlign w:val="bottom"/>
            <w:tcBorders>
              <w:top w:val="single" w:sz="8" w:color="0000EE"/>
            </w:tcBorders>
            <w:shd w:val="clear" w:color="auto" w:fill="CCCCCC"/>
          </w:tcPr>
          <w:p>
            <w:pPr>
              <w:spacing w:after="0" w:line="20" w:lineRule="exact"/>
              <w:rPr>
                <w:sz w:val="1"/>
                <w:szCs w:val="1"/>
                <w:color w:val="auto"/>
              </w:rPr>
            </w:pPr>
          </w:p>
        </w:tc>
        <w:tc>
          <w:tcPr>
            <w:tcW w:w="80" w:type="dxa"/>
            <w:vAlign w:val="bottom"/>
            <w:tcBorders>
              <w:top w:val="single" w:sz="8" w:color="0000EE"/>
            </w:tcBorders>
            <w:shd w:val="clear" w:color="auto" w:fill="CCCCCC"/>
          </w:tcPr>
          <w:p>
            <w:pPr>
              <w:spacing w:after="0" w:line="20" w:lineRule="exact"/>
              <w:rPr>
                <w:sz w:val="1"/>
                <w:szCs w:val="1"/>
                <w:color w:val="auto"/>
              </w:rPr>
            </w:pPr>
          </w:p>
        </w:tc>
        <w:tc>
          <w:tcPr>
            <w:tcW w:w="34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8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280" w:type="dxa"/>
            <w:vAlign w:val="bottom"/>
            <w:tcBorders>
              <w:top w:val="single" w:sz="8" w:color="B2EEDE"/>
            </w:tcBorders>
            <w:shd w:val="clear" w:color="auto" w:fill="CCCCCC"/>
          </w:tcPr>
          <w:p>
            <w:pPr>
              <w:spacing w:after="0" w:line="20" w:lineRule="exact"/>
              <w:rPr>
                <w:sz w:val="1"/>
                <w:szCs w:val="1"/>
                <w:color w:val="auto"/>
              </w:rPr>
            </w:pPr>
          </w:p>
        </w:tc>
        <w:tc>
          <w:tcPr>
            <w:tcW w:w="22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20" w:type="dxa"/>
            <w:vAlign w:val="bottom"/>
            <w:tcBorders>
              <w:top w:val="single" w:sz="8" w:color="B2EEDE"/>
            </w:tcBorders>
            <w:shd w:val="clear" w:color="auto" w:fill="CCCCCC"/>
          </w:tcPr>
          <w:p>
            <w:pPr>
              <w:spacing w:after="0" w:line="20" w:lineRule="exact"/>
              <w:rPr>
                <w:sz w:val="1"/>
                <w:szCs w:val="1"/>
                <w:color w:val="auto"/>
              </w:rPr>
            </w:pPr>
          </w:p>
        </w:tc>
        <w:tc>
          <w:tcPr>
            <w:tcW w:w="18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8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54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360" w:type="dxa"/>
            <w:vAlign w:val="bottom"/>
            <w:tcBorders>
              <w:top w:val="single" w:sz="8" w:color="B2EEDE"/>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108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500" w:type="dxa"/>
            <w:vAlign w:val="bottom"/>
            <w:tcBorders>
              <w:top w:val="single" w:sz="8" w:color="B2EEDE"/>
            </w:tcBorders>
            <w:shd w:val="clear" w:color="auto" w:fill="CCCCCC"/>
          </w:tcPr>
          <w:p>
            <w:pPr>
              <w:spacing w:after="0" w:line="20" w:lineRule="exact"/>
              <w:rPr>
                <w:sz w:val="1"/>
                <w:szCs w:val="1"/>
                <w:color w:val="auto"/>
              </w:rPr>
            </w:pPr>
          </w:p>
        </w:tc>
        <w:tc>
          <w:tcPr>
            <w:tcW w:w="200" w:type="dxa"/>
            <w:vAlign w:val="bottom"/>
            <w:tcBorders>
              <w:top w:val="single" w:sz="8" w:color="B2EEDE"/>
            </w:tcBorders>
            <w:shd w:val="clear" w:color="auto" w:fill="CCCCCC"/>
          </w:tcPr>
          <w:p>
            <w:pPr>
              <w:spacing w:after="0" w:line="20" w:lineRule="exact"/>
              <w:rPr>
                <w:sz w:val="1"/>
                <w:szCs w:val="1"/>
                <w:color w:val="auto"/>
              </w:rPr>
            </w:pPr>
          </w:p>
        </w:tc>
        <w:tc>
          <w:tcPr>
            <w:tcW w:w="900" w:type="dxa"/>
            <w:vAlign w:val="bottom"/>
            <w:tcBorders>
              <w:top w:val="single" w:sz="8" w:color="B2EEDE"/>
            </w:tcBorders>
            <w:shd w:val="clear" w:color="auto" w:fill="CCCCCC"/>
          </w:tcPr>
          <w:p>
            <w:pPr>
              <w:spacing w:after="0" w:line="20" w:lineRule="exact"/>
              <w:rPr>
                <w:sz w:val="1"/>
                <w:szCs w:val="1"/>
                <w:color w:val="auto"/>
              </w:rPr>
            </w:pPr>
          </w:p>
        </w:tc>
        <w:tc>
          <w:tcPr>
            <w:tcW w:w="800" w:type="dxa"/>
            <w:vAlign w:val="bottom"/>
            <w:tcBorders>
              <w:top w:val="single" w:sz="8" w:color="B2EEDE"/>
            </w:tcBorders>
            <w:shd w:val="clear" w:color="auto" w:fill="CCCCCC"/>
          </w:tcPr>
          <w:p>
            <w:pPr>
              <w:spacing w:after="0" w:line="20" w:lineRule="exact"/>
              <w:rPr>
                <w:sz w:val="1"/>
                <w:szCs w:val="1"/>
                <w:color w:val="auto"/>
              </w:rPr>
            </w:pPr>
          </w:p>
        </w:tc>
        <w:tc>
          <w:tcPr>
            <w:tcW w:w="40" w:type="dxa"/>
            <w:vAlign w:val="bottom"/>
            <w:tcBorders>
              <w:top w:val="single" w:sz="8" w:color="B2EEDE"/>
            </w:tcBorders>
            <w:shd w:val="clear" w:color="auto" w:fill="CCCCCC"/>
          </w:tcPr>
          <w:p>
            <w:pPr>
              <w:spacing w:after="0" w:line="20" w:lineRule="exact"/>
              <w:rPr>
                <w:sz w:val="1"/>
                <w:szCs w:val="1"/>
                <w:color w:val="auto"/>
              </w:rPr>
            </w:pPr>
          </w:p>
        </w:tc>
        <w:tc>
          <w:tcPr>
            <w:tcW w:w="300" w:type="dxa"/>
            <w:vAlign w:val="bottom"/>
            <w:tcBorders>
              <w:top w:val="single" w:sz="8" w:color="B2EEDE"/>
            </w:tcBorders>
            <w:shd w:val="clear" w:color="auto" w:fill="CCCCCC"/>
          </w:tcPr>
          <w:p>
            <w:pPr>
              <w:spacing w:after="0" w:line="20" w:lineRule="exact"/>
              <w:rPr>
                <w:sz w:val="1"/>
                <w:szCs w:val="1"/>
                <w:color w:val="auto"/>
              </w:rPr>
            </w:pPr>
          </w:p>
        </w:tc>
        <w:tc>
          <w:tcPr>
            <w:tcW w:w="120" w:type="dxa"/>
            <w:vAlign w:val="bottom"/>
            <w:tcBorders>
              <w:top w:val="single" w:sz="8" w:color="B2EEDE"/>
            </w:tcBorders>
            <w:shd w:val="clear" w:color="auto" w:fill="CCCCCC"/>
          </w:tcPr>
          <w:p>
            <w:pPr>
              <w:spacing w:after="0" w:line="20" w:lineRule="exact"/>
              <w:rPr>
                <w:sz w:val="1"/>
                <w:szCs w:val="1"/>
                <w:color w:val="auto"/>
              </w:rPr>
            </w:pPr>
          </w:p>
        </w:tc>
        <w:tc>
          <w:tcPr>
            <w:tcW w:w="60" w:type="dxa"/>
            <w:vAlign w:val="bottom"/>
            <w:tcBorders>
              <w:top w:val="single" w:sz="8" w:color="B2EEDE"/>
            </w:tcBorders>
            <w:shd w:val="clear" w:color="auto" w:fill="CCCCCC"/>
          </w:tcPr>
          <w:p>
            <w:pPr>
              <w:spacing w:after="0" w:line="20" w:lineRule="exact"/>
              <w:rPr>
                <w:sz w:val="1"/>
                <w:szCs w:val="1"/>
                <w:color w:val="auto"/>
              </w:rPr>
            </w:pPr>
          </w:p>
        </w:tc>
        <w:tc>
          <w:tcPr>
            <w:tcW w:w="240" w:type="dxa"/>
            <w:vAlign w:val="bottom"/>
            <w:tcBorders>
              <w:top w:val="single" w:sz="8" w:color="0000EE"/>
              <w:right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B2EEDE"/>
            </w:tcBorders>
            <w:shd w:val="clear" w:color="auto" w:fill="CCCCC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Change in Auditor</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69</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3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Presentation of Irish Statutory Accounts</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69</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Registered and Principal Executive Offices</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69</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Shareholder Proposals for the 2027 Annual General Meeting</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69</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54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U.S. Securities and Exchange Commission Reports</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70</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Delivery of Documents to Shareholders Sharing an Address</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70</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top w:val="single" w:sz="8" w:color="0000EE"/>
              <w:bottom w:val="single" w:sz="8" w:color="CCCCCC"/>
            </w:tcBorders>
          </w:tcPr>
          <w:p>
            <w:pPr>
              <w:spacing w:after="0"/>
              <w:rPr>
                <w:sz w:val="4"/>
                <w:szCs w:val="4"/>
                <w:color w:val="auto"/>
              </w:rPr>
            </w:pPr>
          </w:p>
        </w:tc>
        <w:tc>
          <w:tcPr>
            <w:tcW w:w="3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34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280" w:type="dxa"/>
            <w:vAlign w:val="bottom"/>
            <w:tcBorders>
              <w:top w:val="single" w:sz="8" w:color="0000EE"/>
              <w:bottom w:val="single" w:sz="8" w:color="CCCCCC"/>
            </w:tcBorders>
          </w:tcPr>
          <w:p>
            <w:pPr>
              <w:spacing w:after="0"/>
              <w:rPr>
                <w:sz w:val="4"/>
                <w:szCs w:val="4"/>
                <w:color w:val="auto"/>
              </w:rPr>
            </w:pPr>
          </w:p>
        </w:tc>
        <w:tc>
          <w:tcPr>
            <w:tcW w:w="2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2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20" w:type="dxa"/>
            <w:vAlign w:val="bottom"/>
            <w:tcBorders>
              <w:top w:val="single" w:sz="8" w:color="0000EE"/>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0" w:type="dxa"/>
            <w:vAlign w:val="bottom"/>
            <w:tcBorders>
              <w:top w:val="single" w:sz="8" w:color="0000EE"/>
              <w:bottom w:val="single" w:sz="8" w:color="CCCCCC"/>
            </w:tcBorders>
          </w:tcPr>
          <w:p>
            <w:pPr>
              <w:spacing w:after="0"/>
              <w:rPr>
                <w:sz w:val="4"/>
                <w:szCs w:val="4"/>
                <w:color w:val="auto"/>
              </w:rPr>
            </w:pPr>
          </w:p>
        </w:tc>
        <w:tc>
          <w:tcPr>
            <w:tcW w:w="200" w:type="dxa"/>
            <w:vAlign w:val="bottom"/>
            <w:tcBorders>
              <w:top w:val="single" w:sz="8" w:color="0000EE"/>
              <w:bottom w:val="single" w:sz="8" w:color="CCCCCC"/>
            </w:tcBorders>
          </w:tcPr>
          <w:p>
            <w:pPr>
              <w:spacing w:after="0"/>
              <w:rPr>
                <w:sz w:val="4"/>
                <w:szCs w:val="4"/>
                <w:color w:val="auto"/>
              </w:rPr>
            </w:pPr>
          </w:p>
        </w:tc>
        <w:tc>
          <w:tcPr>
            <w:tcW w:w="80" w:type="dxa"/>
            <w:vAlign w:val="bottom"/>
            <w:tcBorders>
              <w:top w:val="single" w:sz="8" w:color="0000EE"/>
              <w:bottom w:val="single" w:sz="8" w:color="CCCCCC"/>
            </w:tcBorders>
          </w:tcPr>
          <w:p>
            <w:pPr>
              <w:spacing w:after="0"/>
              <w:rPr>
                <w:sz w:val="4"/>
                <w:szCs w:val="4"/>
                <w:color w:val="auto"/>
              </w:rPr>
            </w:pPr>
          </w:p>
        </w:tc>
        <w:tc>
          <w:tcPr>
            <w:tcW w:w="100" w:type="dxa"/>
            <w:vAlign w:val="bottom"/>
            <w:tcBorders>
              <w:top w:val="single" w:sz="8" w:color="0000EE"/>
              <w:bottom w:val="single" w:sz="8" w:color="CCCCCC"/>
            </w:tcBorders>
          </w:tcPr>
          <w:p>
            <w:pPr>
              <w:spacing w:after="0"/>
              <w:rPr>
                <w:sz w:val="4"/>
                <w:szCs w:val="4"/>
                <w:color w:val="auto"/>
              </w:rPr>
            </w:pPr>
          </w:p>
        </w:tc>
        <w:tc>
          <w:tcPr>
            <w:tcW w:w="540" w:type="dxa"/>
            <w:vAlign w:val="bottom"/>
            <w:tcBorders>
              <w:top w:val="single" w:sz="8" w:color="0000EE"/>
              <w:bottom w:val="single" w:sz="8" w:color="CCCCCC"/>
            </w:tcBorders>
          </w:tcPr>
          <w:p>
            <w:pPr>
              <w:spacing w:after="0"/>
              <w:rPr>
                <w:sz w:val="4"/>
                <w:szCs w:val="4"/>
                <w:color w:val="auto"/>
              </w:rPr>
            </w:pPr>
          </w:p>
        </w:tc>
        <w:tc>
          <w:tcPr>
            <w:tcW w:w="40" w:type="dxa"/>
            <w:vAlign w:val="bottom"/>
            <w:tcBorders>
              <w:top w:val="single" w:sz="8" w:color="0000EE"/>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540" w:type="dxa"/>
            <w:vAlign w:val="bottom"/>
            <w:gridSpan w:val="34"/>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0000EE"/>
              </w:rPr>
              <w:t>General</w:t>
            </w:r>
          </w:p>
        </w:tc>
        <w:tc>
          <w:tcPr>
            <w:tcW w:w="40" w:type="dxa"/>
            <w:vAlign w:val="bottom"/>
          </w:tcPr>
          <w:p>
            <w:pPr>
              <w:spacing w:after="0"/>
              <w:rPr>
                <w:sz w:val="17"/>
                <w:szCs w:val="17"/>
                <w:color w:val="auto"/>
              </w:rPr>
            </w:pPr>
          </w:p>
        </w:tc>
        <w:tc>
          <w:tcPr>
            <w:tcW w:w="82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 ​ ​​ </w:t>
            </w:r>
            <w:r>
              <w:rPr>
                <w:rFonts w:ascii="Arial" w:cs="Arial" w:eastAsia="Arial" w:hAnsi="Arial"/>
                <w:sz w:val="16"/>
                <w:szCs w:val="16"/>
                <w:b w:val="1"/>
                <w:bCs w:val="1"/>
                <w:color w:val="0000EE"/>
              </w:rPr>
              <w:t>70</w:t>
            </w:r>
            <w:r>
              <w:rPr>
                <w:rFonts w:ascii="Arial" w:cs="Arial" w:eastAsia="Arial" w:hAnsi="Arial"/>
                <w:sz w:val="16"/>
                <w:szCs w:val="16"/>
                <w:b w:val="1"/>
                <w:bCs w:val="1"/>
                <w:color w:val="auto"/>
              </w:rPr>
              <w:t xml:space="preserve">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560" w:type="dxa"/>
            <w:vAlign w:val="bottom"/>
            <w:tcBorders>
              <w:top w:val="single" w:sz="8" w:color="0000EE"/>
              <w:bottom w:val="single" w:sz="8" w:color="CCCCCC"/>
            </w:tcBorders>
          </w:tcPr>
          <w:p>
            <w:pPr>
              <w:spacing w:after="0"/>
              <w:rPr>
                <w:sz w:val="4"/>
                <w:szCs w:val="4"/>
                <w:color w:val="auto"/>
              </w:rPr>
            </w:pPr>
          </w:p>
        </w:tc>
        <w:tc>
          <w:tcPr>
            <w:tcW w:w="1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3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2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8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50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90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40" w:type="dxa"/>
            <w:vAlign w:val="bottom"/>
            <w:tcBorders>
              <w:top w:val="single" w:sz="8" w:color="0000EE"/>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540" w:type="dxa"/>
            <w:vAlign w:val="bottom"/>
            <w:gridSpan w:val="34"/>
            <w:shd w:val="clear" w:color="auto" w:fill="B2EEDE"/>
          </w:tcPr>
          <w:p>
            <w:pPr>
              <w:ind w:left="60"/>
              <w:spacing w:after="0" w:line="1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00EE"/>
              </w:rPr>
              <w:t>ANNEX A: DEFINITIONS AND RECONCILIATIONS OF GAAP AND NON-GAAP FINANCIAL MEASURES</w:t>
            </w:r>
          </w:p>
        </w:tc>
        <w:tc>
          <w:tcPr>
            <w:tcW w:w="40" w:type="dxa"/>
            <w:vAlign w:val="bottom"/>
            <w:shd w:val="clear" w:color="auto" w:fill="B2EEDE"/>
          </w:tcPr>
          <w:p>
            <w:pPr>
              <w:spacing w:after="0"/>
              <w:rPr>
                <w:sz w:val="20"/>
                <w:szCs w:val="20"/>
                <w:color w:val="auto"/>
              </w:rPr>
            </w:pPr>
          </w:p>
        </w:tc>
        <w:tc>
          <w:tcPr>
            <w:tcW w:w="820" w:type="dxa"/>
            <w:vAlign w:val="bottom"/>
            <w:gridSpan w:val="5"/>
            <w:shd w:val="clear" w:color="auto" w:fill="B2EEDE"/>
          </w:tcPr>
          <w:p>
            <w:pPr>
              <w:ind w:left="180"/>
              <w:spacing w:after="0" w:line="169" w:lineRule="exact"/>
              <w:rPr>
                <w:sz w:val="20"/>
                <w:szCs w:val="20"/>
                <w:color w:val="auto"/>
              </w:rPr>
            </w:pPr>
            <w:r>
              <w:rPr>
                <w:rFonts w:ascii="Arial" w:cs="Arial" w:eastAsia="Arial" w:hAnsi="Arial"/>
                <w:sz w:val="16"/>
                <w:szCs w:val="16"/>
                <w:b w:val="1"/>
                <w:bCs w:val="1"/>
                <w:color w:val="auto"/>
              </w:rPr>
              <w:t>​ ​ ​​</w:t>
            </w:r>
            <w:r>
              <w:rPr>
                <w:rFonts w:ascii="Arial" w:cs="Arial" w:eastAsia="Arial" w:hAnsi="Arial"/>
                <w:sz w:val="16"/>
                <w:szCs w:val="16"/>
                <w:b w:val="1"/>
                <w:bCs w:val="1"/>
                <w:color w:val="0000EE"/>
              </w:rPr>
              <w:t>A-1</w:t>
            </w:r>
            <w:r>
              <w:rPr>
                <w:rFonts w:ascii="Arial" w:cs="Arial" w:eastAsia="Arial" w:hAnsi="Arial"/>
                <w:sz w:val="16"/>
                <w:szCs w:val="16"/>
                <w:b w:val="1"/>
                <w:bCs w:val="1"/>
                <w:color w:val="auto"/>
              </w:rPr>
              <w:t xml:space="preserve"> ​​</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3"/>
        </w:trPr>
        <w:tc>
          <w:tcPr>
            <w:tcW w:w="660" w:type="dxa"/>
            <w:vAlign w:val="bottom"/>
            <w:tcBorders>
              <w:bottom w:val="single" w:sz="8" w:color="9A9A9A"/>
            </w:tcBorders>
          </w:tcPr>
          <w:p>
            <w:pPr>
              <w:spacing w:after="0"/>
              <w:rPr>
                <w:sz w:val="24"/>
                <w:szCs w:val="24"/>
                <w:color w:val="auto"/>
              </w:rPr>
            </w:pPr>
          </w:p>
        </w:tc>
        <w:tc>
          <w:tcPr>
            <w:tcW w:w="120" w:type="dxa"/>
            <w:vAlign w:val="bottom"/>
            <w:tcBorders>
              <w:top w:val="single" w:sz="8" w:color="B2EED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800" w:type="dxa"/>
            <w:vAlign w:val="bottom"/>
            <w:tcBorders>
              <w:top w:val="single" w:sz="8" w:color="B2EEDE"/>
              <w:bottom w:val="single" w:sz="8" w:color="9A9A9A"/>
            </w:tcBorders>
          </w:tcPr>
          <w:p>
            <w:pPr>
              <w:spacing w:after="0"/>
              <w:rPr>
                <w:sz w:val="24"/>
                <w:szCs w:val="24"/>
                <w:color w:val="auto"/>
              </w:rPr>
            </w:pPr>
          </w:p>
        </w:tc>
        <w:tc>
          <w:tcPr>
            <w:tcW w:w="40" w:type="dxa"/>
            <w:vAlign w:val="bottom"/>
            <w:tcBorders>
              <w:top w:val="single" w:sz="8" w:color="B2EEDE"/>
              <w:bottom w:val="single" w:sz="8" w:color="9A9A9A"/>
            </w:tcBorders>
          </w:tcPr>
          <w:p>
            <w:pPr>
              <w:spacing w:after="0"/>
              <w:rPr>
                <w:sz w:val="24"/>
                <w:szCs w:val="24"/>
                <w:color w:val="auto"/>
              </w:rPr>
            </w:pPr>
          </w:p>
        </w:tc>
        <w:tc>
          <w:tcPr>
            <w:tcW w:w="300" w:type="dxa"/>
            <w:vAlign w:val="bottom"/>
            <w:tcBorders>
              <w:top w:val="single" w:sz="8" w:color="B2EEDE"/>
              <w:bottom w:val="single" w:sz="8" w:color="9A9A9A"/>
            </w:tcBorders>
          </w:tcPr>
          <w:p>
            <w:pPr>
              <w:spacing w:after="0"/>
              <w:rPr>
                <w:sz w:val="24"/>
                <w:szCs w:val="24"/>
                <w:color w:val="auto"/>
              </w:rPr>
            </w:pPr>
          </w:p>
        </w:tc>
        <w:tc>
          <w:tcPr>
            <w:tcW w:w="120" w:type="dxa"/>
            <w:vAlign w:val="bottom"/>
            <w:tcBorders>
              <w:top w:val="single" w:sz="8" w:color="B2EED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B2EEDE"/>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-7971790</wp:posOffset>
            </wp:positionV>
            <wp:extent cx="5966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323232"/>
        </w:rPr>
        <w:t>Proxy Statement Summary</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Proxy Statement Summary</w:t>
      </w:r>
    </w:p>
    <w:p>
      <w:pPr>
        <w:spacing w:after="0" w:line="120" w:lineRule="exact"/>
        <w:rPr>
          <w:sz w:val="20"/>
          <w:szCs w:val="20"/>
          <w:color w:val="auto"/>
        </w:rPr>
      </w:pPr>
    </w:p>
    <w:p>
      <w:pPr>
        <w:ind w:left="680" w:right="120"/>
        <w:spacing w:after="0" w:line="271"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the information that you should consider, and you should read this entire Proxy Statement carefully before voting. For information regarding fiscal year ended December 31, 2025 (“fiscal 2025”) operating performance, please review our Annual Report on Form 10-K for the fiscal year ended December 31, 2025. We are making this Proxy Statement available to you on or about April 27, 2026.</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2026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174625</wp:posOffset>
            </wp:positionV>
            <wp:extent cx="377190" cy="386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7190" cy="386080"/>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174625</wp:posOffset>
            </wp:positionV>
            <wp:extent cx="377190"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7190" cy="38608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191770</wp:posOffset>
            </wp:positionV>
            <wp:extent cx="300355" cy="368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03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46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180" w:type="dxa"/>
            <w:vAlign w:val="bottom"/>
          </w:tcPr>
          <w:p>
            <w:pPr>
              <w:spacing w:after="0"/>
              <w:rPr>
                <w:sz w:val="17"/>
                <w:szCs w:val="17"/>
                <w:color w:val="auto"/>
              </w:rPr>
            </w:pPr>
          </w:p>
        </w:tc>
        <w:tc>
          <w:tcPr>
            <w:tcW w:w="540" w:type="dxa"/>
            <w:vAlign w:val="bottom"/>
            <w:gridSpan w:val="2"/>
          </w:tcPr>
          <w:p>
            <w:pPr>
              <w:ind w:left="3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020" w:type="dxa"/>
            <w:vAlign w:val="bottom"/>
          </w:tcPr>
          <w:p>
            <w:pPr>
              <w:spacing w:after="0"/>
              <w:rPr>
                <w:sz w:val="17"/>
                <w:szCs w:val="17"/>
                <w:color w:val="auto"/>
              </w:rPr>
            </w:pPr>
          </w:p>
        </w:tc>
        <w:tc>
          <w:tcPr>
            <w:tcW w:w="640" w:type="dxa"/>
            <w:vAlign w:val="bottom"/>
            <w:gridSpan w:val="2"/>
          </w:tcPr>
          <w:p>
            <w:pPr>
              <w:ind w:left="4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680" w:type="dxa"/>
            <w:vAlign w:val="bottom"/>
          </w:tcPr>
          <w:p>
            <w:pPr>
              <w:spacing w:after="0"/>
              <w:rPr>
                <w:sz w:val="17"/>
                <w:szCs w:val="17"/>
                <w:color w:val="auto"/>
              </w:rPr>
            </w:pPr>
          </w:p>
        </w:tc>
        <w:tc>
          <w:tcPr>
            <w:tcW w:w="22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24"/>
        </w:trPr>
        <w:tc>
          <w:tcPr>
            <w:tcW w:w="460" w:type="dxa"/>
            <w:vAlign w:val="bottom"/>
            <w:shd w:val="clear" w:color="auto" w:fill="B2EEDE"/>
          </w:tcPr>
          <w:p>
            <w:pPr>
              <w:ind w:left="60"/>
              <w:spacing w:after="0"/>
              <w:rPr>
                <w:sz w:val="20"/>
                <w:szCs w:val="20"/>
                <w:color w:val="auto"/>
              </w:rPr>
            </w:pPr>
            <w:r>
              <w:rPr>
                <w:rFonts w:ascii="Arial" w:cs="Arial" w:eastAsia="Arial" w:hAnsi="Arial"/>
                <w:sz w:val="16"/>
                <w:szCs w:val="16"/>
                <w:b w:val="1"/>
                <w:bCs w:val="1"/>
                <w:color w:val="auto"/>
              </w:rPr>
              <w:t>​</w:t>
            </w:r>
          </w:p>
        </w:tc>
        <w:tc>
          <w:tcPr>
            <w:tcW w:w="2180" w:type="dxa"/>
            <w:vAlign w:val="bottom"/>
            <w:shd w:val="clear" w:color="auto" w:fill="B2EEDE"/>
          </w:tcPr>
          <w:p>
            <w:pPr>
              <w:jc w:val="center"/>
              <w:spacing w:after="0"/>
              <w:rPr>
                <w:sz w:val="20"/>
                <w:szCs w:val="20"/>
                <w:color w:val="auto"/>
              </w:rPr>
            </w:pPr>
            <w:r>
              <w:rPr>
                <w:rFonts w:ascii="Arial" w:cs="Arial" w:eastAsia="Arial" w:hAnsi="Arial"/>
                <w:sz w:val="16"/>
                <w:szCs w:val="16"/>
                <w:b w:val="1"/>
                <w:bCs w:val="1"/>
                <w:color w:val="auto"/>
                <w:w w:val="97"/>
              </w:rPr>
              <w:t>DATE AND TIME</w:t>
            </w:r>
          </w:p>
        </w:tc>
        <w:tc>
          <w:tcPr>
            <w:tcW w:w="340" w:type="dxa"/>
            <w:vAlign w:val="bottom"/>
            <w:shd w:val="clear" w:color="auto" w:fill="B2EEDE"/>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B2EEDE"/>
          </w:tcPr>
          <w:p>
            <w:pPr>
              <w:ind w:left="20"/>
              <w:spacing w:after="0"/>
              <w:rPr>
                <w:sz w:val="20"/>
                <w:szCs w:val="20"/>
                <w:color w:val="auto"/>
              </w:rPr>
            </w:pPr>
            <w:r>
              <w:rPr>
                <w:rFonts w:ascii="Arial" w:cs="Arial" w:eastAsia="Arial" w:hAnsi="Arial"/>
                <w:sz w:val="16"/>
                <w:szCs w:val="16"/>
                <w:b w:val="1"/>
                <w:bCs w:val="1"/>
                <w:color w:val="auto"/>
              </w:rPr>
              <w:t>​</w:t>
            </w:r>
          </w:p>
        </w:tc>
        <w:tc>
          <w:tcPr>
            <w:tcW w:w="2020" w:type="dxa"/>
            <w:vAlign w:val="bottom"/>
            <w:shd w:val="clear" w:color="auto" w:fill="B2EEDE"/>
          </w:tcPr>
          <w:p>
            <w:pPr>
              <w:jc w:val="center"/>
              <w:spacing w:after="0"/>
              <w:rPr>
                <w:sz w:val="20"/>
                <w:szCs w:val="20"/>
                <w:color w:val="auto"/>
              </w:rPr>
            </w:pPr>
            <w:r>
              <w:rPr>
                <w:rFonts w:ascii="Arial" w:cs="Arial" w:eastAsia="Arial" w:hAnsi="Arial"/>
                <w:sz w:val="16"/>
                <w:szCs w:val="16"/>
                <w:b w:val="1"/>
                <w:bCs w:val="1"/>
                <w:color w:val="auto"/>
                <w:w w:val="98"/>
              </w:rPr>
              <w:t>RECORD DATE</w:t>
            </w:r>
          </w:p>
        </w:tc>
        <w:tc>
          <w:tcPr>
            <w:tcW w:w="460" w:type="dxa"/>
            <w:vAlign w:val="bottom"/>
            <w:shd w:val="clear" w:color="auto" w:fill="B2EEDE"/>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B2EEDE"/>
          </w:tcPr>
          <w:p>
            <w:pPr>
              <w:ind w:left="20"/>
              <w:spacing w:after="0"/>
              <w:rPr>
                <w:sz w:val="20"/>
                <w:szCs w:val="20"/>
                <w:color w:val="auto"/>
              </w:rPr>
            </w:pPr>
            <w:r>
              <w:rPr>
                <w:rFonts w:ascii="Arial" w:cs="Arial" w:eastAsia="Arial" w:hAnsi="Arial"/>
                <w:sz w:val="16"/>
                <w:szCs w:val="16"/>
                <w:b w:val="1"/>
                <w:bCs w:val="1"/>
                <w:color w:val="auto"/>
              </w:rPr>
              <w:t>​</w:t>
            </w:r>
          </w:p>
        </w:tc>
        <w:tc>
          <w:tcPr>
            <w:tcW w:w="2680" w:type="dxa"/>
            <w:vAlign w:val="bottom"/>
            <w:shd w:val="clear" w:color="auto" w:fill="B2EEDE"/>
          </w:tcPr>
          <w:p>
            <w:pPr>
              <w:jc w:val="center"/>
              <w:spacing w:after="0"/>
              <w:rPr>
                <w:sz w:val="20"/>
                <w:szCs w:val="20"/>
                <w:color w:val="auto"/>
              </w:rPr>
            </w:pPr>
            <w:r>
              <w:rPr>
                <w:rFonts w:ascii="Arial" w:cs="Arial" w:eastAsia="Arial" w:hAnsi="Arial"/>
                <w:sz w:val="16"/>
                <w:szCs w:val="16"/>
                <w:b w:val="1"/>
                <w:bCs w:val="1"/>
                <w:color w:val="auto"/>
                <w:w w:val="99"/>
              </w:rPr>
              <w:t>PLACE</w:t>
            </w:r>
          </w:p>
        </w:tc>
        <w:tc>
          <w:tcPr>
            <w:tcW w:w="220" w:type="dxa"/>
            <w:vAlign w:val="bottom"/>
            <w:shd w:val="clear" w:color="auto" w:fill="B2EEDE"/>
          </w:tcPr>
          <w:p>
            <w:pPr>
              <w:ind w:lef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0"/>
        </w:trPr>
        <w:tc>
          <w:tcPr>
            <w:tcW w:w="460" w:type="dxa"/>
            <w:vAlign w:val="bottom"/>
          </w:tcPr>
          <w:p>
            <w:pPr>
              <w:ind w:left="60"/>
              <w:spacing w:after="0"/>
              <w:rPr>
                <w:sz w:val="20"/>
                <w:szCs w:val="20"/>
                <w:color w:val="auto"/>
              </w:rPr>
            </w:pPr>
            <w:r>
              <w:rPr>
                <w:rFonts w:ascii="Arial" w:cs="Arial" w:eastAsia="Arial" w:hAnsi="Arial"/>
                <w:sz w:val="14"/>
                <w:szCs w:val="14"/>
                <w:color w:val="auto"/>
              </w:rPr>
              <w:t>​</w:t>
            </w: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w w:val="99"/>
              </w:rPr>
              <w:t>Tuesday, June 2, 2026,</w:t>
            </w:r>
          </w:p>
        </w:tc>
        <w:tc>
          <w:tcPr>
            <w:tcW w:w="34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rPr>
              <w:t>March 23, 2026</w:t>
            </w:r>
          </w:p>
        </w:tc>
        <w:tc>
          <w:tcPr>
            <w:tcW w:w="4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2680" w:type="dxa"/>
            <w:vAlign w:val="bottom"/>
            <w:vMerge w:val="restart"/>
          </w:tcPr>
          <w:p>
            <w:pPr>
              <w:jc w:val="center"/>
              <w:ind w:right="5"/>
              <w:spacing w:after="0"/>
              <w:rPr>
                <w:sz w:val="20"/>
                <w:szCs w:val="20"/>
                <w:color w:val="auto"/>
              </w:rPr>
            </w:pPr>
            <w:r>
              <w:rPr>
                <w:rFonts w:ascii="Arial" w:cs="Arial" w:eastAsia="Arial" w:hAnsi="Arial"/>
                <w:sz w:val="14"/>
                <w:szCs w:val="14"/>
                <w:color w:val="auto"/>
                <w:w w:val="98"/>
              </w:rPr>
              <w:t>Arthur Cox LLP, Ten Earlsfort Terrace,</w:t>
            </w:r>
          </w:p>
        </w:tc>
        <w:tc>
          <w:tcPr>
            <w:tcW w:w="220" w:type="dxa"/>
            <w:vAlign w:val="bottom"/>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46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rPr>
              <w:t>at 12:30 p.m., local time</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80" w:type="dxa"/>
            <w:vAlign w:val="bottom"/>
            <w:vMerge w:val="restart"/>
          </w:tcPr>
          <w:p>
            <w:pPr>
              <w:jc w:val="center"/>
              <w:spacing w:after="0"/>
              <w:rPr>
                <w:sz w:val="20"/>
                <w:szCs w:val="20"/>
                <w:color w:val="auto"/>
              </w:rPr>
            </w:pPr>
            <w:r>
              <w:rPr>
                <w:rFonts w:ascii="Arial" w:cs="Arial" w:eastAsia="Arial" w:hAnsi="Arial"/>
                <w:sz w:val="14"/>
                <w:szCs w:val="14"/>
                <w:color w:val="auto"/>
              </w:rPr>
              <w:t>Dublin 2, D02 T380, Ireland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111760</wp:posOffset>
            </wp:positionV>
            <wp:extent cx="5966460" cy="1423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142303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sect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If you owned Keenova ordinary shares at the close of business on the record date, then you are entitled</w:t>
      </w:r>
    </w:p>
    <w:p>
      <w:pPr>
        <w:spacing w:after="0" w:line="5" w:lineRule="exact"/>
        <w:rPr>
          <w:sz w:val="20"/>
          <w:szCs w:val="20"/>
          <w:color w:val="auto"/>
        </w:rPr>
      </w:pPr>
    </w:p>
    <w:p>
      <w:pPr>
        <w:ind w:left="2740" w:right="140" w:hanging="2068"/>
        <w:spacing w:after="0" w:line="226" w:lineRule="auto"/>
        <w:tabs>
          <w:tab w:leader="none" w:pos="1799" w:val="left"/>
        </w:tabs>
        <w:numPr>
          <w:ilvl w:val="0"/>
          <w:numId w:val="13"/>
        </w:numPr>
        <w:rPr>
          <w:rFonts w:ascii="Arial" w:cs="Arial" w:eastAsia="Arial" w:hAnsi="Arial"/>
          <w:sz w:val="16"/>
          <w:szCs w:val="16"/>
          <w:color w:val="auto"/>
        </w:rPr>
      </w:pPr>
      <w:r>
        <w:rPr>
          <w:rFonts w:ascii="Arial" w:cs="Arial" w:eastAsia="Arial" w:hAnsi="Arial"/>
          <w:sz w:val="18"/>
          <w:szCs w:val="18"/>
          <w:b w:val="1"/>
          <w:bCs w:val="1"/>
          <w:color w:val="00514B"/>
        </w:rPr>
        <w:t xml:space="preserve">Voting: </w:t>
      </w:r>
      <w:r>
        <w:rPr>
          <w:rFonts w:ascii="Arial" w:cs="Arial" w:eastAsia="Arial" w:hAnsi="Arial"/>
          <w:sz w:val="16"/>
          <w:szCs w:val="16"/>
          <w:color w:val="000000"/>
        </w:rPr>
        <w:t>​ ​to vote. Each ordinary share is entitled to one vote on each matter properly brought before the Annual</w:t>
      </w:r>
      <w:r>
        <w:rPr>
          <w:rFonts w:ascii="Arial" w:cs="Arial" w:eastAsia="Arial" w:hAnsi="Arial"/>
          <w:sz w:val="18"/>
          <w:szCs w:val="18"/>
          <w:b w:val="1"/>
          <w:bCs w:val="1"/>
          <w:color w:val="00514B"/>
        </w:rPr>
        <w:t xml:space="preserve"> </w:t>
      </w:r>
      <w:r>
        <w:rPr>
          <w:rFonts w:ascii="Arial" w:cs="Arial" w:eastAsia="Arial" w:hAnsi="Arial"/>
          <w:sz w:val="16"/>
          <w:szCs w:val="16"/>
          <w:color w:val="000000"/>
        </w:rPr>
        <w:t>General Meeting</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0514B"/>
        </w:rPr>
        <w:t>Ordinary Shares</w:t>
      </w:r>
    </w:p>
    <w:p>
      <w:pPr>
        <w:ind w:left="680"/>
        <w:spacing w:after="0"/>
        <w:tabs>
          <w:tab w:leader="none" w:pos="2540" w:val="left"/>
        </w:tabs>
        <w:rPr>
          <w:sz w:val="20"/>
          <w:szCs w:val="20"/>
          <w:color w:val="auto"/>
        </w:rPr>
      </w:pPr>
      <w:r>
        <w:rPr>
          <w:rFonts w:ascii="Arial" w:cs="Arial" w:eastAsia="Arial" w:hAnsi="Arial"/>
          <w:sz w:val="18"/>
          <w:szCs w:val="18"/>
          <w:b w:val="1"/>
          <w:bCs w:val="1"/>
          <w:color w:val="00514B"/>
        </w:rPr>
        <w:t>​ Outstanding as of</w:t>
        <w:tab/>
        <w:t>​ ​</w:t>
      </w:r>
      <w:r>
        <w:rPr>
          <w:rFonts w:ascii="Arial" w:cs="Arial" w:eastAsia="Arial" w:hAnsi="Arial"/>
          <w:sz w:val="16"/>
          <w:szCs w:val="16"/>
          <w:color w:val="000000"/>
        </w:rPr>
        <w:t>39,581,987</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0514B"/>
        </w:rPr>
        <w:t>Record Date:</w:t>
      </w:r>
    </w:p>
    <w:p>
      <w:pPr>
        <w:spacing w:after="0" w:line="32" w:lineRule="exact"/>
        <w:rPr>
          <w:sz w:val="20"/>
          <w:szCs w:val="20"/>
          <w:color w:val="auto"/>
        </w:rPr>
      </w:pPr>
    </w:p>
    <w:p>
      <w:pPr>
        <w:ind w:left="1100" w:hanging="428"/>
        <w:spacing w:after="0"/>
        <w:tabs>
          <w:tab w:leader="none" w:pos="1100" w:val="left"/>
        </w:tabs>
        <w:numPr>
          <w:ilvl w:val="0"/>
          <w:numId w:val="14"/>
        </w:numPr>
        <w:rPr>
          <w:rFonts w:ascii="Arial" w:cs="Arial" w:eastAsia="Arial" w:hAnsi="Arial"/>
          <w:sz w:val="18"/>
          <w:szCs w:val="18"/>
          <w:color w:val="00514B"/>
        </w:rPr>
      </w:pPr>
      <w:r>
        <w:rPr>
          <w:rFonts w:ascii="Arial" w:cs="Arial" w:eastAsia="Arial" w:hAnsi="Arial"/>
          <w:sz w:val="18"/>
          <w:szCs w:val="18"/>
          <w:b w:val="1"/>
          <w:bCs w:val="1"/>
          <w:color w:val="00514B"/>
        </w:rPr>
        <w:t xml:space="preserve">Transfer Agent:  </w:t>
      </w:r>
      <w:r>
        <w:rPr>
          <w:rFonts w:ascii="Arial" w:cs="Arial" w:eastAsia="Arial" w:hAnsi="Arial"/>
          <w:sz w:val="18"/>
          <w:szCs w:val="18"/>
          <w:color w:val="00514B"/>
        </w:rPr>
        <w:t>​ ​</w:t>
      </w:r>
      <w:r>
        <w:rPr>
          <w:rFonts w:ascii="Arial" w:cs="Arial" w:eastAsia="Arial" w:hAnsi="Arial"/>
          <w:sz w:val="16"/>
          <w:szCs w:val="16"/>
          <w:color w:val="000000"/>
        </w:rPr>
        <w:t>Computershare Trust Company, N.A. (“Computershare”)</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00514B"/>
              </w:rPr>
              <w:t>​</w:t>
            </w:r>
          </w:p>
        </w:tc>
        <w:tc>
          <w:tcPr>
            <w:tcW w:w="1520" w:type="dxa"/>
            <w:vAlign w:val="bottom"/>
          </w:tcPr>
          <w:p>
            <w:pPr>
              <w:ind w:left="720"/>
              <w:spacing w:after="0"/>
              <w:rPr>
                <w:sz w:val="20"/>
                <w:szCs w:val="20"/>
                <w:color w:val="auto"/>
              </w:rPr>
            </w:pPr>
            <w:r>
              <w:rPr>
                <w:rFonts w:ascii="Arial" w:cs="Arial" w:eastAsia="Arial" w:hAnsi="Arial"/>
                <w:sz w:val="18"/>
                <w:szCs w:val="18"/>
                <w:b w:val="1"/>
                <w:bCs w:val="1"/>
                <w:color w:val="00514B"/>
              </w:rPr>
              <w:t>Place of</w:t>
            </w:r>
          </w:p>
        </w:tc>
        <w:tc>
          <w:tcPr>
            <w:tcW w:w="740" w:type="dxa"/>
            <w:vAlign w:val="bottom"/>
            <w:vMerge w:val="restart"/>
          </w:tcPr>
          <w:p>
            <w:pPr>
              <w:ind w:left="80"/>
              <w:spacing w:after="0"/>
              <w:rPr>
                <w:sz w:val="20"/>
                <w:szCs w:val="20"/>
                <w:color w:val="auto"/>
              </w:rPr>
            </w:pPr>
            <w:r>
              <w:rPr>
                <w:rFonts w:ascii="Arial" w:cs="Arial" w:eastAsia="Arial" w:hAnsi="Arial"/>
                <w:sz w:val="18"/>
                <w:szCs w:val="18"/>
                <w:b w:val="1"/>
                <w:bCs w:val="1"/>
                <w:color w:val="00514B"/>
              </w:rPr>
              <w:t>​ ​</w:t>
            </w:r>
            <w:r>
              <w:rPr>
                <w:rFonts w:ascii="Arial" w:cs="Arial" w:eastAsia="Arial" w:hAnsi="Arial"/>
                <w:sz w:val="16"/>
                <w:szCs w:val="16"/>
                <w:color w:val="000000"/>
              </w:rPr>
              <w:t>Ireland</w:t>
            </w:r>
          </w:p>
        </w:tc>
        <w:tc>
          <w:tcPr>
            <w:tcW w:w="0" w:type="dxa"/>
            <w:vAlign w:val="bottom"/>
          </w:tcPr>
          <w:p>
            <w:pPr>
              <w:spacing w:after="0"/>
              <w:rPr>
                <w:sz w:val="1"/>
                <w:szCs w:val="1"/>
                <w:color w:val="auto"/>
              </w:rPr>
            </w:pPr>
          </w:p>
        </w:tc>
      </w:tr>
      <w:tr>
        <w:trPr>
          <w:trHeight w:val="247"/>
        </w:trPr>
        <w:tc>
          <w:tcPr>
            <w:tcW w:w="280" w:type="dxa"/>
            <w:vAlign w:val="bottom"/>
            <w:vMerge w:val="continue"/>
          </w:tcPr>
          <w:p>
            <w:pPr>
              <w:spacing w:after="0"/>
              <w:rPr>
                <w:sz w:val="21"/>
                <w:szCs w:val="21"/>
                <w:color w:val="auto"/>
              </w:rPr>
            </w:pPr>
          </w:p>
        </w:tc>
        <w:tc>
          <w:tcPr>
            <w:tcW w:w="1520" w:type="dxa"/>
            <w:vAlign w:val="bottom"/>
          </w:tcPr>
          <w:p>
            <w:pPr>
              <w:ind w:left="240"/>
              <w:spacing w:after="0"/>
              <w:rPr>
                <w:sz w:val="20"/>
                <w:szCs w:val="20"/>
                <w:color w:val="auto"/>
              </w:rPr>
            </w:pPr>
            <w:r>
              <w:rPr>
                <w:rFonts w:ascii="Arial" w:cs="Arial" w:eastAsia="Arial" w:hAnsi="Arial"/>
                <w:sz w:val="18"/>
                <w:szCs w:val="18"/>
                <w:b w:val="1"/>
                <w:bCs w:val="1"/>
                <w:color w:val="00514B"/>
              </w:rPr>
              <w:t>Incorporation:</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00514B"/>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514B"/>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514B"/>
        </w:rPr>
        <w:t>​</w:t>
      </w:r>
    </w:p>
    <w:p>
      <w:pPr>
        <w:spacing w:after="0" w:line="320" w:lineRule="exact"/>
        <w:rPr>
          <w:sz w:val="20"/>
          <w:szCs w:val="20"/>
          <w:color w:val="auto"/>
        </w:rPr>
      </w:pPr>
    </w:p>
    <w:p>
      <w:pPr>
        <w:sectPr>
          <w:pgSz w:w="11900" w:h="16838" w:orient="portrait"/>
          <w:cols w:equalWidth="0" w:num="2">
            <w:col w:w="10040" w:space="20"/>
            <w:col w:w="60"/>
          </w:cols>
          <w:pgMar w:left="580" w:top="97" w:right="1199" w:bottom="1440" w:gutter="0" w:footer="0" w:header="0"/>
          <w:type w:val="continuous"/>
        </w:sectPr>
      </w:pPr>
    </w:p>
    <w:p>
      <w:pPr>
        <w:spacing w:after="0" w:line="178"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Meeting 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106045</wp:posOffset>
            </wp:positionV>
            <wp:extent cx="146558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5580" cy="291465"/>
                    </a:xfrm>
                    <a:prstGeom prst="rect">
                      <a:avLst/>
                    </a:prstGeom>
                    <a:noFill/>
                  </pic:spPr>
                </pic:pic>
              </a:graphicData>
            </a:graphic>
          </wp:anchor>
        </w:drawing>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60" w:type="dxa"/>
            <w:vAlign w:val="bottom"/>
            <w:shd w:val="clear" w:color="auto" w:fill="B2EEDE"/>
          </w:tcPr>
          <w:p>
            <w:pPr>
              <w:spacing w:after="0"/>
              <w:rPr>
                <w:sz w:val="19"/>
                <w:szCs w:val="19"/>
                <w:color w:val="auto"/>
              </w:rPr>
            </w:pPr>
          </w:p>
        </w:tc>
        <w:tc>
          <w:tcPr>
            <w:tcW w:w="600" w:type="dxa"/>
            <w:vAlign w:val="bottom"/>
            <w:shd w:val="clear" w:color="auto" w:fill="B2EEDE"/>
          </w:tcPr>
          <w:p>
            <w:pPr>
              <w:spacing w:after="0"/>
              <w:rPr>
                <w:sz w:val="19"/>
                <w:szCs w:val="19"/>
                <w:color w:val="auto"/>
              </w:rPr>
            </w:pPr>
          </w:p>
        </w:tc>
        <w:tc>
          <w:tcPr>
            <w:tcW w:w="3340" w:type="dxa"/>
            <w:vAlign w:val="bottom"/>
            <w:shd w:val="clear" w:color="auto" w:fill="B2EEDE"/>
          </w:tcPr>
          <w:p>
            <w:pPr>
              <w:spacing w:after="0"/>
              <w:rPr>
                <w:sz w:val="19"/>
                <w:szCs w:val="19"/>
                <w:color w:val="auto"/>
              </w:rPr>
            </w:pPr>
          </w:p>
        </w:tc>
        <w:tc>
          <w:tcPr>
            <w:tcW w:w="1720" w:type="dxa"/>
            <w:vAlign w:val="bottom"/>
            <w:shd w:val="clear" w:color="auto" w:fill="B2EED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9"/>
              </w:rPr>
              <w:t>Our Board’s</w:t>
            </w:r>
          </w:p>
        </w:tc>
        <w:tc>
          <w:tcPr>
            <w:tcW w:w="440" w:type="dxa"/>
            <w:vAlign w:val="bottom"/>
          </w:tcPr>
          <w:p>
            <w:pPr>
              <w:spacing w:after="0"/>
              <w:rPr>
                <w:sz w:val="19"/>
                <w:szCs w:val="19"/>
                <w:color w:val="auto"/>
              </w:rPr>
            </w:pPr>
          </w:p>
        </w:tc>
        <w:tc>
          <w:tcPr>
            <w:tcW w:w="300" w:type="dxa"/>
            <w:vAlign w:val="bottom"/>
            <w:shd w:val="clear" w:color="auto" w:fill="B2EEDE"/>
          </w:tcPr>
          <w:p>
            <w:pPr>
              <w:spacing w:after="0"/>
              <w:rPr>
                <w:sz w:val="19"/>
                <w:szCs w:val="19"/>
                <w:color w:val="auto"/>
              </w:rPr>
            </w:pPr>
          </w:p>
        </w:tc>
        <w:tc>
          <w:tcPr>
            <w:tcW w:w="180" w:type="dxa"/>
            <w:vAlign w:val="bottom"/>
            <w:shd w:val="clear" w:color="auto" w:fill="B2EEDE"/>
          </w:tcPr>
          <w:p>
            <w:pPr>
              <w:spacing w:after="0"/>
              <w:rPr>
                <w:sz w:val="19"/>
                <w:szCs w:val="19"/>
                <w:color w:val="auto"/>
              </w:rPr>
            </w:pPr>
          </w:p>
        </w:tc>
        <w:tc>
          <w:tcPr>
            <w:tcW w:w="220" w:type="dxa"/>
            <w:vAlign w:val="bottom"/>
            <w:shd w:val="clear" w:color="auto" w:fill="B2EEDE"/>
          </w:tcPr>
          <w:p>
            <w:pPr>
              <w:spacing w:after="0"/>
              <w:rPr>
                <w:sz w:val="19"/>
                <w:szCs w:val="19"/>
                <w:color w:val="auto"/>
              </w:rPr>
            </w:pPr>
          </w:p>
        </w:tc>
        <w:tc>
          <w:tcPr>
            <w:tcW w:w="100" w:type="dxa"/>
            <w:vAlign w:val="bottom"/>
            <w:shd w:val="clear" w:color="auto" w:fill="B2EED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gridSpan w:val="2"/>
            <w:shd w:val="clear" w:color="auto" w:fill="B2EEDE"/>
          </w:tcPr>
          <w:p>
            <w:pPr>
              <w:ind w:left="60"/>
              <w:spacing w:after="0"/>
              <w:rPr>
                <w:sz w:val="20"/>
                <w:szCs w:val="20"/>
                <w:color w:val="auto"/>
              </w:rPr>
            </w:pPr>
            <w:r>
              <w:rPr>
                <w:rFonts w:ascii="Arial" w:cs="Arial" w:eastAsia="Arial" w:hAnsi="Arial"/>
                <w:sz w:val="16"/>
                <w:szCs w:val="16"/>
                <w:b w:val="1"/>
                <w:bCs w:val="1"/>
                <w:color w:val="auto"/>
              </w:rPr>
              <w:t>​Proposal</w:t>
            </w:r>
          </w:p>
        </w:tc>
        <w:tc>
          <w:tcPr>
            <w:tcW w:w="3340" w:type="dxa"/>
            <w:vAlign w:val="bottom"/>
            <w:shd w:val="clear" w:color="auto" w:fill="B2EEDE"/>
          </w:tcPr>
          <w:p>
            <w:pPr>
              <w:spacing w:after="0"/>
              <w:rPr>
                <w:sz w:val="20"/>
                <w:szCs w:val="20"/>
                <w:color w:val="auto"/>
              </w:rPr>
            </w:pPr>
          </w:p>
        </w:tc>
        <w:tc>
          <w:tcPr>
            <w:tcW w:w="1720" w:type="dxa"/>
            <w:vAlign w:val="bottom"/>
            <w:shd w:val="clear" w:color="auto" w:fill="B2EEDE"/>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Recommendation</w:t>
            </w:r>
          </w:p>
        </w:tc>
        <w:tc>
          <w:tcPr>
            <w:tcW w:w="44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3"/>
            <w:shd w:val="clear" w:color="auto" w:fill="B2EEDE"/>
          </w:tcPr>
          <w:p>
            <w:pPr>
              <w:ind w:left="40"/>
              <w:spacing w:after="0"/>
              <w:rPr>
                <w:sz w:val="20"/>
                <w:szCs w:val="20"/>
                <w:color w:val="auto"/>
              </w:rPr>
            </w:pPr>
            <w:r>
              <w:rPr>
                <w:rFonts w:ascii="Arial" w:cs="Arial" w:eastAsia="Arial" w:hAnsi="Arial"/>
                <w:sz w:val="16"/>
                <w:szCs w:val="16"/>
                <w:b w:val="1"/>
                <w:bCs w:val="1"/>
                <w:color w:val="auto"/>
              </w:rPr>
              <w:t>​ Page #</w:t>
            </w:r>
          </w:p>
        </w:tc>
        <w:tc>
          <w:tcPr>
            <w:tcW w:w="100" w:type="dxa"/>
            <w:vAlign w:val="bottom"/>
            <w:shd w:val="clear" w:color="auto" w:fill="B2EEDE"/>
          </w:tcPr>
          <w:p>
            <w:pPr>
              <w:ind w:lef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5"/>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2"/>
              <w:spacing w:after="0" w:line="245" w:lineRule="exact"/>
              <w:rPr>
                <w:sz w:val="20"/>
                <w:szCs w:val="20"/>
                <w:color w:val="auto"/>
              </w:rPr>
            </w:pPr>
            <w:r>
              <w:rPr>
                <w:rFonts w:ascii="Arial" w:cs="Arial" w:eastAsia="Arial" w:hAnsi="Arial"/>
                <w:sz w:val="22"/>
                <w:szCs w:val="22"/>
                <w:b w:val="1"/>
                <w:bCs w:val="1"/>
                <w:color w:val="auto"/>
              </w:rPr>
              <w:t>1</w:t>
            </w:r>
          </w:p>
        </w:tc>
        <w:tc>
          <w:tcPr>
            <w:tcW w:w="3340" w:type="dxa"/>
            <w:vAlign w:val="bottom"/>
          </w:tcPr>
          <w:p>
            <w:pPr>
              <w:ind w:left="40"/>
              <w:spacing w:after="0" w:line="245"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Election of directors</w:t>
            </w:r>
          </w:p>
        </w:tc>
        <w:tc>
          <w:tcPr>
            <w:tcW w:w="1900" w:type="dxa"/>
            <w:vAlign w:val="bottom"/>
            <w:gridSpan w:val="2"/>
          </w:tcPr>
          <w:p>
            <w:pPr>
              <w:ind w:left="172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840" w:type="dxa"/>
            <w:vAlign w:val="bottom"/>
          </w:tcPr>
          <w:p>
            <w:pPr>
              <w:ind w:left="800"/>
              <w:spacing w:after="0" w:line="245" w:lineRule="exact"/>
              <w:rPr>
                <w:sz w:val="20"/>
                <w:szCs w:val="20"/>
                <w:color w:val="auto"/>
              </w:rPr>
            </w:pPr>
            <w:r>
              <w:rPr>
                <w:rFonts w:ascii="Arial" w:cs="Arial" w:eastAsia="Arial" w:hAnsi="Arial"/>
                <w:sz w:val="15"/>
                <w:szCs w:val="15"/>
                <w:b w:val="1"/>
                <w:bCs w:val="1"/>
                <w:color w:val="00514B"/>
              </w:rPr>
              <w:t xml:space="preserve">FOR </w:t>
            </w:r>
            <w:r>
              <w:rPr>
                <w:rFonts w:ascii="Arial" w:cs="Arial" w:eastAsia="Arial" w:hAnsi="Arial"/>
                <w:sz w:val="28"/>
                <w:szCs w:val="28"/>
                <w:color w:val="000000"/>
                <w:vertAlign w:val="subscript"/>
              </w:rPr>
              <w:t>​​</w:t>
            </w:r>
          </w:p>
        </w:tc>
        <w:tc>
          <w:tcPr>
            <w:tcW w:w="440" w:type="dxa"/>
            <w:vAlign w:val="bottom"/>
          </w:tcPr>
          <w:p>
            <w:pPr>
              <w:ind w:left="220"/>
              <w:spacing w:after="0"/>
              <w:rPr>
                <w:sz w:val="20"/>
                <w:szCs w:val="20"/>
                <w:color w:val="auto"/>
              </w:rPr>
            </w:pPr>
            <w:r>
              <w:rPr>
                <w:rFonts w:ascii="Arial" w:cs="Arial" w:eastAsia="Arial" w:hAnsi="Arial"/>
                <w:sz w:val="16"/>
                <w:szCs w:val="16"/>
                <w:color w:val="auto"/>
              </w:rPr>
              <w:t>​</w:t>
            </w:r>
          </w:p>
        </w:tc>
        <w:tc>
          <w:tcPr>
            <w:tcW w:w="700" w:type="dxa"/>
            <w:vAlign w:val="bottom"/>
            <w:gridSpan w:val="3"/>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56</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40" w:type="dxa"/>
            <w:vAlign w:val="bottom"/>
            <w:vMerge w:val="restart"/>
          </w:tcPr>
          <w:p>
            <w:pPr>
              <w:ind w:left="160"/>
              <w:spacing w:after="0"/>
              <w:rPr>
                <w:sz w:val="20"/>
                <w:szCs w:val="20"/>
                <w:color w:val="auto"/>
              </w:rPr>
            </w:pPr>
            <w:r>
              <w:rPr>
                <w:rFonts w:ascii="Arial" w:cs="Arial" w:eastAsia="Arial" w:hAnsi="Arial"/>
                <w:sz w:val="16"/>
                <w:szCs w:val="16"/>
                <w:color w:val="auto"/>
              </w:rPr>
              <w:t>each nominee</w:t>
            </w: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-239395</wp:posOffset>
            </wp:positionV>
            <wp:extent cx="19685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850" cy="154305"/>
                    </a:xfrm>
                    <a:prstGeom prst="rect">
                      <a:avLst/>
                    </a:prstGeom>
                    <a:noFill/>
                  </pic:spPr>
                </pic:pic>
              </a:graphicData>
            </a:graphic>
          </wp:anchor>
        </w:drawing>
      </w:r>
    </w:p>
    <w:p>
      <w:pPr>
        <w:ind w:left="1760" w:hanging="674"/>
        <w:spacing w:after="0" w:line="183" w:lineRule="auto"/>
        <w:tabs>
          <w:tab w:leader="none" w:pos="1760" w:val="left"/>
        </w:tabs>
        <w:numPr>
          <w:ilvl w:val="0"/>
          <w:numId w:val="15"/>
        </w:numPr>
        <w:rPr>
          <w:rFonts w:ascii="Arial" w:cs="Arial" w:eastAsia="Arial" w:hAnsi="Arial"/>
          <w:sz w:val="32"/>
          <w:szCs w:val="32"/>
          <w:b w:val="1"/>
          <w:bCs w:val="1"/>
          <w:color w:val="auto"/>
          <w:vertAlign w:val="subscript"/>
        </w:rPr>
      </w:pPr>
      <w:r>
        <w:rPr>
          <w:rFonts w:ascii="Arial" w:cs="Arial" w:eastAsia="Arial" w:hAnsi="Arial"/>
          <w:sz w:val="14"/>
          <w:szCs w:val="14"/>
          <w:color w:val="auto"/>
        </w:rPr>
        <w:t>Advisory non-binding vote to approve the re-appointment of the</w:t>
      </w:r>
    </w:p>
    <w:tbl>
      <w:tblPr>
        <w:tblLayout w:type="fixed"/>
        <w:tblInd w:w="660" w:type="dxa"/>
        <w:tblCellMar>
          <w:top w:w="0" w:type="dxa"/>
          <w:left w:w="0" w:type="dxa"/>
          <w:bottom w:w="0" w:type="dxa"/>
          <w:right w:w="0" w:type="dxa"/>
        </w:tblCellMar>
      </w:tblPr>
      <w:tr>
        <w:trPr>
          <w:trHeight w:val="194"/>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5080" w:type="dxa"/>
            <w:vAlign w:val="bottom"/>
          </w:tcPr>
          <w:p>
            <w:pPr>
              <w:ind w:left="180"/>
              <w:spacing w:after="0" w:line="193" w:lineRule="exact"/>
              <w:rPr>
                <w:sz w:val="20"/>
                <w:szCs w:val="20"/>
                <w:color w:val="auto"/>
              </w:rPr>
            </w:pPr>
            <w:r>
              <w:rPr>
                <w:rFonts w:ascii="Arial" w:cs="Arial" w:eastAsia="Arial" w:hAnsi="Arial"/>
                <w:sz w:val="22"/>
                <w:szCs w:val="22"/>
                <w:color w:val="auto"/>
                <w:vertAlign w:val="subscript"/>
              </w:rPr>
              <w:t>​ ​</w:t>
            </w:r>
            <w:r>
              <w:rPr>
                <w:rFonts w:ascii="Arial" w:cs="Arial" w:eastAsia="Arial" w:hAnsi="Arial"/>
                <w:sz w:val="13"/>
                <w:szCs w:val="13"/>
                <w:color w:val="auto"/>
              </w:rPr>
              <w:t>independent auditors and binding vote to authorize the Audit</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00514B"/>
              </w:rPr>
              <w:t>FOR</w:t>
            </w:r>
            <w:r>
              <w:rPr>
                <w:rFonts w:ascii="Arial" w:cs="Arial" w:eastAsia="Arial" w:hAnsi="Arial"/>
                <w:sz w:val="16"/>
                <w:szCs w:val="16"/>
                <w:color w:val="000000"/>
              </w:rPr>
              <w:t>​​</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0000EE"/>
              </w:rPr>
              <w:t>60</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80" w:type="dxa"/>
            <w:vAlign w:val="bottom"/>
            <w:vMerge w:val="restart"/>
          </w:tcPr>
          <w:p>
            <w:pPr>
              <w:ind w:left="380"/>
              <w:spacing w:after="0"/>
              <w:rPr>
                <w:sz w:val="20"/>
                <w:szCs w:val="20"/>
                <w:color w:val="auto"/>
              </w:rPr>
            </w:pPr>
            <w:r>
              <w:rPr>
                <w:rFonts w:ascii="Arial" w:cs="Arial" w:eastAsia="Arial" w:hAnsi="Arial"/>
                <w:sz w:val="16"/>
                <w:szCs w:val="16"/>
                <w:color w:val="auto"/>
              </w:rPr>
              <w:t>Committee of the Board of Directors (the “Board”) to set the</w:t>
            </w: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independent auditors’ remuneration</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72"/>
              <w:spacing w:after="0"/>
              <w:rPr>
                <w:sz w:val="20"/>
                <w:szCs w:val="20"/>
                <w:color w:val="auto"/>
              </w:rPr>
            </w:pPr>
            <w:r>
              <w:rPr>
                <w:rFonts w:ascii="Arial" w:cs="Arial" w:eastAsia="Arial" w:hAnsi="Arial"/>
                <w:sz w:val="22"/>
                <w:szCs w:val="22"/>
                <w:b w:val="1"/>
                <w:bCs w:val="1"/>
                <w:color w:val="auto"/>
              </w:rPr>
              <w:t>3</w:t>
            </w:r>
          </w:p>
        </w:tc>
        <w:tc>
          <w:tcPr>
            <w:tcW w:w="5080" w:type="dxa"/>
            <w:vAlign w:val="bottom"/>
          </w:tcPr>
          <w:p>
            <w:pPr>
              <w:ind w:left="180"/>
              <w:spacing w:after="0" w:line="28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Advisory non-binding vote to approve the Company’s executive</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00514B"/>
              </w:rPr>
              <w:t>FOR</w:t>
            </w:r>
            <w:r>
              <w:rPr>
                <w:rFonts w:ascii="Arial" w:cs="Arial" w:eastAsia="Arial" w:hAnsi="Arial"/>
                <w:sz w:val="16"/>
                <w:szCs w:val="16"/>
                <w:color w:val="000000"/>
              </w:rPr>
              <w:t>​​</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0000EE"/>
              </w:rPr>
              <w:t>61</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tcPr>
          <w:p>
            <w:pPr>
              <w:ind w:left="380"/>
              <w:spacing w:after="0" w:line="175" w:lineRule="exact"/>
              <w:rPr>
                <w:sz w:val="20"/>
                <w:szCs w:val="20"/>
                <w:color w:val="auto"/>
              </w:rPr>
            </w:pPr>
            <w:r>
              <w:rPr>
                <w:rFonts w:ascii="Arial" w:cs="Arial" w:eastAsia="Arial" w:hAnsi="Arial"/>
                <w:sz w:val="16"/>
                <w:szCs w:val="16"/>
                <w:color w:val="auto"/>
              </w:rPr>
              <w:t>compensation</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0000EE"/>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72"/>
              <w:spacing w:after="0" w:line="225" w:lineRule="exact"/>
              <w:rPr>
                <w:sz w:val="20"/>
                <w:szCs w:val="20"/>
                <w:color w:val="auto"/>
              </w:rPr>
            </w:pPr>
            <w:r>
              <w:rPr>
                <w:rFonts w:ascii="Arial" w:cs="Arial" w:eastAsia="Arial" w:hAnsi="Arial"/>
                <w:sz w:val="22"/>
                <w:szCs w:val="22"/>
                <w:b w:val="1"/>
                <w:bCs w:val="1"/>
                <w:color w:val="auto"/>
              </w:rPr>
              <w:t>4</w:t>
            </w:r>
          </w:p>
        </w:tc>
        <w:tc>
          <w:tcPr>
            <w:tcW w:w="5080" w:type="dxa"/>
            <w:vAlign w:val="bottom"/>
          </w:tcPr>
          <w:p>
            <w:pPr>
              <w:ind w:left="380"/>
              <w:spacing w:after="0"/>
              <w:rPr>
                <w:sz w:val="20"/>
                <w:szCs w:val="20"/>
                <w:color w:val="auto"/>
              </w:rPr>
            </w:pPr>
            <w:r>
              <w:rPr>
                <w:rFonts w:ascii="Arial" w:cs="Arial" w:eastAsia="Arial" w:hAnsi="Arial"/>
                <w:sz w:val="16"/>
                <w:szCs w:val="16"/>
                <w:color w:val="auto"/>
              </w:rPr>
              <w:t>Advisory non-binding vote on frequency of future advisory non-</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560" w:type="dxa"/>
            <w:vAlign w:val="bottom"/>
            <w:vMerge w:val="restart"/>
          </w:tcPr>
          <w:p>
            <w:pPr>
              <w:jc w:val="right"/>
              <w:ind w:right="319"/>
              <w:spacing w:after="0"/>
              <w:rPr>
                <w:sz w:val="20"/>
                <w:szCs w:val="20"/>
                <w:color w:val="auto"/>
              </w:rPr>
            </w:pPr>
            <w:r>
              <w:rPr>
                <w:rFonts w:ascii="Arial" w:cs="Arial" w:eastAsia="Arial" w:hAnsi="Arial"/>
                <w:sz w:val="16"/>
                <w:szCs w:val="16"/>
                <w:color w:val="auto"/>
              </w:rPr>
              <w:t>ONE YEAR​</w:t>
            </w:r>
            <w:r>
              <w:rPr>
                <w:rFonts w:ascii="Arial" w:cs="Arial" w:eastAsia="Arial" w:hAnsi="Arial"/>
                <w:sz w:val="16"/>
                <w:szCs w:val="16"/>
                <w:b w:val="1"/>
                <w:bCs w:val="1"/>
                <w:color w:val="auto"/>
              </w:rPr>
              <w:t>​</w:t>
            </w:r>
          </w:p>
        </w:tc>
        <w:tc>
          <w:tcPr>
            <w:tcW w:w="56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0000EE"/>
              </w:rPr>
              <w:t>62</w:t>
            </w:r>
          </w:p>
        </w:tc>
        <w:tc>
          <w:tcPr>
            <w:tcW w:w="18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2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5080" w:type="dxa"/>
            <w:vAlign w:val="bottom"/>
          </w:tcPr>
          <w:p>
            <w:pPr>
              <w:ind w:left="180"/>
              <w:spacing w:after="0" w:line="140" w:lineRule="exact"/>
              <w:rPr>
                <w:sz w:val="20"/>
                <w:szCs w:val="20"/>
                <w:color w:val="auto"/>
              </w:rPr>
            </w:pPr>
            <w:r>
              <w:rPr>
                <w:rFonts w:ascii="Arial" w:cs="Arial" w:eastAsia="Arial" w:hAnsi="Arial"/>
                <w:sz w:val="16"/>
                <w:szCs w:val="16"/>
                <w:color w:val="auto"/>
              </w:rPr>
              <w:t>​ ​binding votes to approve the Company’s executive compensation</w:t>
            </w:r>
          </w:p>
        </w:tc>
        <w:tc>
          <w:tcPr>
            <w:tcW w:w="24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0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72"/>
              <w:spacing w:after="0"/>
              <w:rPr>
                <w:sz w:val="20"/>
                <w:szCs w:val="20"/>
                <w:color w:val="auto"/>
              </w:rPr>
            </w:pPr>
            <w:r>
              <w:rPr>
                <w:rFonts w:ascii="Arial" w:cs="Arial" w:eastAsia="Arial" w:hAnsi="Arial"/>
                <w:sz w:val="22"/>
                <w:szCs w:val="22"/>
                <w:b w:val="1"/>
                <w:bCs w:val="1"/>
                <w:color w:val="auto"/>
              </w:rPr>
              <w:t>5</w:t>
            </w:r>
          </w:p>
        </w:tc>
        <w:tc>
          <w:tcPr>
            <w:tcW w:w="5080" w:type="dxa"/>
            <w:vAlign w:val="bottom"/>
          </w:tcPr>
          <w:p>
            <w:pPr>
              <w:ind w:left="180"/>
              <w:spacing w:after="0"/>
              <w:rPr>
                <w:sz w:val="20"/>
                <w:szCs w:val="20"/>
                <w:color w:val="auto"/>
              </w:rPr>
            </w:pPr>
            <w:r>
              <w:rPr>
                <w:rFonts w:ascii="Arial" w:cs="Arial" w:eastAsia="Arial" w:hAnsi="Arial"/>
                <w:sz w:val="16"/>
                <w:szCs w:val="16"/>
                <w:color w:val="auto"/>
              </w:rPr>
              <w:t>​ ​Approve the reduction of Company capital (Special Resolution)</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00514B"/>
              </w:rPr>
              <w:t>FOR</w:t>
            </w:r>
            <w:r>
              <w:rPr>
                <w:rFonts w:ascii="Arial" w:cs="Arial" w:eastAsia="Arial" w:hAnsi="Arial"/>
                <w:sz w:val="16"/>
                <w:szCs w:val="16"/>
                <w:color w:val="000000"/>
              </w:rPr>
              <w:t>​​</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63</w:t>
            </w:r>
          </w:p>
        </w:tc>
        <w:tc>
          <w:tcPr>
            <w:tcW w:w="140" w:type="dxa"/>
            <w:vAlign w:val="bottom"/>
          </w:tcPr>
          <w:p>
            <w:pPr>
              <w:spacing w:after="0"/>
              <w:rPr>
                <w:sz w:val="22"/>
                <w:szCs w:val="22"/>
                <w:color w:val="auto"/>
              </w:rPr>
            </w:pP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72"/>
              <w:spacing w:after="0"/>
              <w:rPr>
                <w:sz w:val="20"/>
                <w:szCs w:val="20"/>
                <w:color w:val="auto"/>
              </w:rPr>
            </w:pPr>
            <w:r>
              <w:rPr>
                <w:rFonts w:ascii="Arial" w:cs="Arial" w:eastAsia="Arial" w:hAnsi="Arial"/>
                <w:sz w:val="22"/>
                <w:szCs w:val="22"/>
                <w:b w:val="1"/>
                <w:bCs w:val="1"/>
                <w:color w:val="auto"/>
              </w:rPr>
              <w:t>6</w:t>
            </w:r>
          </w:p>
        </w:tc>
        <w:tc>
          <w:tcPr>
            <w:tcW w:w="5080" w:type="dxa"/>
            <w:vAlign w:val="bottom"/>
          </w:tcPr>
          <w:p>
            <w:pPr>
              <w:ind w:left="180"/>
              <w:spacing w:after="0" w:line="278"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Approve an amendment to the Company’s Articles of Association</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00514B"/>
              </w:rPr>
              <w:t>FOR</w:t>
            </w:r>
            <w:r>
              <w:rPr>
                <w:rFonts w:ascii="Arial" w:cs="Arial" w:eastAsia="Arial" w:hAnsi="Arial"/>
                <w:sz w:val="16"/>
                <w:szCs w:val="16"/>
                <w:color w:val="000000"/>
              </w:rPr>
              <w:t>​​</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0000EE"/>
              </w:rPr>
              <w:t>65</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80" w:type="dxa"/>
            <w:vAlign w:val="bottom"/>
            <w:vMerge w:val="restart"/>
          </w:tcPr>
          <w:p>
            <w:pPr>
              <w:ind w:left="380"/>
              <w:spacing w:after="0"/>
              <w:rPr>
                <w:sz w:val="20"/>
                <w:szCs w:val="20"/>
                <w:color w:val="auto"/>
              </w:rPr>
            </w:pPr>
            <w:r>
              <w:rPr>
                <w:rFonts w:ascii="Arial" w:cs="Arial" w:eastAsia="Arial" w:hAnsi="Arial"/>
                <w:sz w:val="16"/>
                <w:szCs w:val="16"/>
                <w:color w:val="auto"/>
              </w:rPr>
              <w:t>(Special Resolution)</w:t>
            </w: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-1748155</wp:posOffset>
            </wp:positionV>
            <wp:extent cx="19685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850" cy="15430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-1302385</wp:posOffset>
            </wp:positionV>
            <wp:extent cx="19685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5430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-573405</wp:posOffset>
            </wp:positionV>
            <wp:extent cx="19685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0" cy="15430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-256540</wp:posOffset>
            </wp:positionV>
            <wp:extent cx="19685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0"/>
        <w:spacing w:after="0"/>
        <w:tabs>
          <w:tab w:leader="none" w:pos="5220" w:val="left"/>
          <w:tab w:leader="none" w:pos="846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Proxy Statement Summary</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Company Performance Highlights</w:t>
      </w:r>
    </w:p>
    <w:p>
      <w:pPr>
        <w:spacing w:after="0" w:line="112" w:lineRule="exact"/>
        <w:rPr>
          <w:sz w:val="20"/>
          <w:szCs w:val="20"/>
          <w:color w:val="auto"/>
        </w:rPr>
      </w:pPr>
    </w:p>
    <w:p>
      <w:pPr>
        <w:ind w:left="680" w:right="320"/>
        <w:spacing w:after="0" w:line="284" w:lineRule="auto"/>
        <w:rPr>
          <w:sz w:val="20"/>
          <w:szCs w:val="20"/>
          <w:color w:val="auto"/>
        </w:rPr>
      </w:pPr>
      <w:r>
        <w:rPr>
          <w:rFonts w:ascii="Arial" w:cs="Arial" w:eastAsia="Arial" w:hAnsi="Arial"/>
          <w:sz w:val="16"/>
          <w:szCs w:val="16"/>
          <w:color w:val="auto"/>
        </w:rPr>
        <w:t>Fiscal 2025 was a transformational year for the Company, including our merger (the “Business Combination” or the “merger”) with Endo, Inc. (which has since been converted to Endo LP, “Endo”) and the later separation of the Company’s generics and sterile businesses into an independent, private company named Par Health (the “Separation” or the “Spin-off”).</w:t>
      </w:r>
    </w:p>
    <w:p>
      <w:pPr>
        <w:spacing w:after="0" w:line="130" w:lineRule="exact"/>
        <w:rPr>
          <w:sz w:val="20"/>
          <w:szCs w:val="20"/>
          <w:color w:val="auto"/>
        </w:rPr>
      </w:pPr>
    </w:p>
    <w:p>
      <w:pPr>
        <w:ind w:left="680" w:right="160"/>
        <w:spacing w:after="0" w:line="271" w:lineRule="auto"/>
        <w:rPr>
          <w:sz w:val="20"/>
          <w:szCs w:val="20"/>
          <w:color w:val="auto"/>
        </w:rPr>
      </w:pPr>
      <w:r>
        <w:rPr>
          <w:rFonts w:ascii="Arial" w:cs="Arial" w:eastAsia="Arial" w:hAnsi="Arial"/>
          <w:sz w:val="16"/>
          <w:szCs w:val="16"/>
          <w:color w:val="auto"/>
        </w:rPr>
        <w:t xml:space="preserve">We are now </w:t>
      </w:r>
      <w:r>
        <w:rPr>
          <w:rFonts w:ascii="Arial" w:cs="Arial" w:eastAsia="Arial" w:hAnsi="Arial"/>
          <w:sz w:val="16"/>
          <w:szCs w:val="16"/>
          <w:b w:val="1"/>
          <w:bCs w:val="1"/>
          <w:color w:val="auto"/>
        </w:rPr>
        <w:t>Keenova Therapeutics</w:t>
      </w:r>
      <w:r>
        <w:rPr>
          <w:rFonts w:ascii="Arial" w:cs="Arial" w:eastAsia="Arial" w:hAnsi="Arial"/>
          <w:sz w:val="16"/>
          <w:szCs w:val="16"/>
          <w:color w:val="auto"/>
        </w:rPr>
        <w:t> — a leading U.S.-focused branded therapeutics company that strives to help patients with rare or unaddressed conditions live happier and healthier lives. Keenova’s rare disease capabilities underpin our diversified brands portfolio, which is focused across a wide range of therapeutic areas of significant unmet need. These include rheumatology, ophthalmology, nephrology, neurology, pulmonology, orthopedics, urology, and neonatal respiratory critical care.</w:t>
      </w:r>
    </w:p>
    <w:p>
      <w:pPr>
        <w:spacing w:after="0" w:line="141" w:lineRule="exact"/>
        <w:rPr>
          <w:sz w:val="20"/>
          <w:szCs w:val="20"/>
          <w:color w:val="auto"/>
        </w:rPr>
      </w:pPr>
    </w:p>
    <w:p>
      <w:pPr>
        <w:ind w:left="680" w:right="500"/>
        <w:spacing w:after="0" w:line="286" w:lineRule="auto"/>
        <w:rPr>
          <w:sz w:val="20"/>
          <w:szCs w:val="20"/>
          <w:color w:val="auto"/>
        </w:rPr>
      </w:pPr>
      <w:r>
        <w:rPr>
          <w:rFonts w:ascii="Arial" w:cs="Arial" w:eastAsia="Arial" w:hAnsi="Arial"/>
          <w:sz w:val="16"/>
          <w:szCs w:val="16"/>
          <w:color w:val="auto"/>
        </w:rPr>
        <w:t>Our performance for fiscal 2025 underscores the positive momentum in the business and our team’s disciplined execution. Key performance highlights for fiscal 2025 include:</w:t>
      </w:r>
    </w:p>
    <w:p>
      <w:pPr>
        <w:spacing w:after="0" w:line="21" w:lineRule="exact"/>
        <w:rPr>
          <w:sz w:val="20"/>
          <w:szCs w:val="20"/>
          <w:color w:val="auto"/>
        </w:rPr>
      </w:pPr>
    </w:p>
    <w:p>
      <w:pPr>
        <w:ind w:left="860" w:right="280" w:hanging="188"/>
        <w:spacing w:after="0" w:line="275" w:lineRule="auto"/>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Net sales from continuing operations of $1.93 billion and Adjusted EBITDA from continuing operations of $609 million, reflecting continued momentum across our core franchises, partially offset by the impact of merger-related compensation costs.</w:t>
      </w:r>
      <w:r>
        <w:rPr>
          <w:rFonts w:ascii="Arial" w:cs="Arial" w:eastAsia="Arial" w:hAnsi="Arial"/>
          <w:sz w:val="23"/>
          <w:szCs w:val="23"/>
          <w:color w:val="auto"/>
          <w:vertAlign w:val="superscript"/>
        </w:rPr>
        <w:t>1</w:t>
      </w:r>
    </w:p>
    <w:p>
      <w:pPr>
        <w:spacing w:after="0" w:line="1" w:lineRule="exact"/>
        <w:rPr>
          <w:rFonts w:ascii="Arial" w:cs="Arial" w:eastAsia="Arial" w:hAnsi="Arial"/>
          <w:sz w:val="15"/>
          <w:szCs w:val="15"/>
          <w:color w:val="auto"/>
        </w:rPr>
      </w:pPr>
    </w:p>
    <w:p>
      <w:pPr>
        <w:jc w:val="both"/>
        <w:ind w:left="860" w:right="720" w:hanging="188"/>
        <w:spacing w:after="0" w:line="264"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realized $13 million in pre-tax merger synergies in the fourth quarter of 2025, and we expect to realize pre-tax merger synergies of approximately $100 million in 2026 as we remain on track to achieve $150 million of annual pre-tax, run-rate synergies by the merger’s three-year anniversary.</w:t>
      </w:r>
    </w:p>
    <w:p>
      <w:pPr>
        <w:spacing w:after="0" w:line="7" w:lineRule="exact"/>
        <w:rPr>
          <w:rFonts w:ascii="Arial" w:cs="Arial" w:eastAsia="Arial" w:hAnsi="Arial"/>
          <w:sz w:val="16"/>
          <w:szCs w:val="16"/>
          <w:color w:val="auto"/>
        </w:rPr>
      </w:pPr>
    </w:p>
    <w:p>
      <w:pPr>
        <w:ind w:left="860" w:hanging="18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Acthar</w:t>
      </w:r>
      <w:r>
        <w:rPr>
          <w:rFonts w:ascii="Arial" w:cs="Arial" w:eastAsia="Arial" w:hAnsi="Arial"/>
          <w:sz w:val="25"/>
          <w:szCs w:val="25"/>
          <w:color w:val="auto"/>
          <w:vertAlign w:val="superscript"/>
        </w:rPr>
        <w:t>®</w:t>
      </w:r>
      <w:r>
        <w:rPr>
          <w:rFonts w:ascii="Arial" w:cs="Arial" w:eastAsia="Arial" w:hAnsi="Arial"/>
          <w:sz w:val="16"/>
          <w:szCs w:val="16"/>
          <w:color w:val="auto"/>
        </w:rPr>
        <w:t xml:space="preserve"> Gel delivered its second consecutive year of double-digit growth with 39% full-year net sales growth.</w:t>
      </w:r>
    </w:p>
    <w:p>
      <w:pPr>
        <w:spacing w:after="0" w:line="42" w:lineRule="exact"/>
        <w:rPr>
          <w:rFonts w:ascii="Arial" w:cs="Arial" w:eastAsia="Arial" w:hAnsi="Arial"/>
          <w:sz w:val="16"/>
          <w:szCs w:val="16"/>
          <w:color w:val="auto"/>
        </w:rPr>
      </w:pPr>
    </w:p>
    <w:p>
      <w:pPr>
        <w:ind w:left="860" w:right="260" w:hanging="188"/>
        <w:spacing w:after="0" w:line="211"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XIAFLEX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net sales grew mid-single digits for full year, and INOmax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demonstrated resilience globally despite U.S. competitive pressures.</w:t>
      </w:r>
    </w:p>
    <w:p>
      <w:pPr>
        <w:spacing w:after="0" w:line="24" w:lineRule="exact"/>
        <w:rPr>
          <w:rFonts w:ascii="Arial" w:cs="Arial" w:eastAsia="Arial" w:hAnsi="Arial"/>
          <w:sz w:val="16"/>
          <w:szCs w:val="16"/>
          <w:color w:val="auto"/>
        </w:rPr>
      </w:pPr>
    </w:p>
    <w:p>
      <w:pPr>
        <w:ind w:left="860" w:right="280" w:hanging="188"/>
        <w:spacing w:after="0" w:line="244"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XIAFLEX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clinical trial progress in additional indications, with our program for hammer toe expected to progress into a Phase 3 study, which, subject to the outcome of discussions with the FDA, we expect to start in the fourth quarter of 2026. In addition, patient enrollment for a Phase 3 study for plantar fibromatosis was completed on March 5, 2026. Topline results are expected in the third quarter of 2026, with a regulatory submission targeted for the fourth quarter of 2026.</w:t>
      </w:r>
    </w:p>
    <w:p>
      <w:pPr>
        <w:spacing w:after="0" w:line="163" w:lineRule="exact"/>
        <w:rPr>
          <w:sz w:val="20"/>
          <w:szCs w:val="20"/>
          <w:color w:val="auto"/>
        </w:rPr>
      </w:pPr>
    </w:p>
    <w:p>
      <w:pPr>
        <w:ind w:left="680" w:right="420"/>
        <w:spacing w:after="0" w:line="286" w:lineRule="auto"/>
        <w:rPr>
          <w:sz w:val="20"/>
          <w:szCs w:val="20"/>
          <w:color w:val="auto"/>
        </w:rPr>
      </w:pPr>
      <w:r>
        <w:rPr>
          <w:rFonts w:ascii="Arial" w:cs="Arial" w:eastAsia="Arial" w:hAnsi="Arial"/>
          <w:sz w:val="16"/>
          <w:szCs w:val="16"/>
          <w:color w:val="auto"/>
        </w:rPr>
        <w:t>You should refer to the more comprehensive discussions contained in our Annual Report on Form 10-K for the fiscal year ended December 31, 2025,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3528060</wp:posOffset>
            </wp:positionV>
            <wp:extent cx="1234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40" w:right="180" w:hanging="368"/>
        <w:spacing w:after="0" w:line="270" w:lineRule="auto"/>
        <w:tabs>
          <w:tab w:leader="none" w:pos="1040" w:val="left"/>
        </w:tabs>
        <w:numPr>
          <w:ilvl w:val="0"/>
          <w:numId w:val="17"/>
        </w:numPr>
        <w:rPr>
          <w:rFonts w:ascii="Arial" w:cs="Arial" w:eastAsia="Arial" w:hAnsi="Arial"/>
          <w:sz w:val="10"/>
          <w:szCs w:val="10"/>
          <w:color w:val="auto"/>
        </w:rPr>
      </w:pPr>
      <w:r>
        <w:rPr>
          <w:rFonts w:ascii="Arial" w:cs="Arial" w:eastAsia="Arial" w:hAnsi="Arial"/>
          <w:sz w:val="13"/>
          <w:szCs w:val="13"/>
          <w:color w:val="auto"/>
        </w:rPr>
        <w:t>The financial results presented reflect the continuing operations of Keenova Therapeutics plc as if the Business Combination and the Separation had each occurred at the beginning of fiscal 2025. Please see Annex A to this proxy statement for a discussion of non-GAAP measures and reconciliation of GAAP and non-GAAP financial measures.</w:t>
      </w:r>
    </w:p>
    <w:p>
      <w:pPr>
        <w:spacing w:after="0" w:line="319"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​2 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440"/>
        <w:spacing w:after="0"/>
        <w:rPr>
          <w:sz w:val="20"/>
          <w:szCs w:val="20"/>
          <w:color w:val="auto"/>
        </w:rPr>
      </w:pPr>
      <w:r>
        <w:rPr>
          <w:rFonts w:ascii="Arial" w:cs="Arial" w:eastAsia="Arial" w:hAnsi="Arial"/>
          <w:sz w:val="13"/>
          <w:szCs w:val="13"/>
          <w:color w:val="323232"/>
        </w:rPr>
        <w:t>Proxy Statement Summary</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Our Director Nominees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97"/>
        </w:trPr>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ind w:left="260"/>
              <w:spacing w:after="0"/>
              <w:rPr>
                <w:sz w:val="20"/>
                <w:szCs w:val="20"/>
                <w:color w:val="auto"/>
              </w:rPr>
            </w:pPr>
            <w:r>
              <w:rPr>
                <w:rFonts w:ascii="Arial" w:cs="Arial" w:eastAsia="Arial" w:hAnsi="Arial"/>
                <w:sz w:val="16"/>
                <w:szCs w:val="16"/>
                <w:b w:val="1"/>
                <w:bCs w:val="1"/>
                <w:color w:val="auto"/>
              </w:rPr>
              <w:t>​ ​</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B2EEDE"/>
          </w:tcPr>
          <w:p>
            <w:pPr>
              <w:ind w:left="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B2EEDE"/>
          </w:tcPr>
          <w:p>
            <w:pPr>
              <w:spacing w:after="0"/>
              <w:rPr>
                <w:sz w:val="24"/>
                <w:szCs w:val="24"/>
                <w:color w:val="auto"/>
              </w:rPr>
            </w:pPr>
          </w:p>
        </w:tc>
        <w:tc>
          <w:tcPr>
            <w:tcW w:w="120" w:type="dxa"/>
            <w:vAlign w:val="bottom"/>
            <w:shd w:val="clear" w:color="auto" w:fill="B2EEDE"/>
          </w:tcPr>
          <w:p>
            <w:pPr>
              <w:spacing w:after="0"/>
              <w:rPr>
                <w:sz w:val="24"/>
                <w:szCs w:val="24"/>
                <w:color w:val="auto"/>
              </w:rPr>
            </w:pPr>
          </w:p>
        </w:tc>
        <w:tc>
          <w:tcPr>
            <w:tcW w:w="160" w:type="dxa"/>
            <w:vAlign w:val="bottom"/>
            <w:shd w:val="clear" w:color="auto" w:fill="B2EEDE"/>
          </w:tcPr>
          <w:p>
            <w:pPr>
              <w:spacing w:after="0"/>
              <w:rPr>
                <w:sz w:val="24"/>
                <w:szCs w:val="24"/>
                <w:color w:val="auto"/>
              </w:rPr>
            </w:pPr>
          </w:p>
        </w:tc>
        <w:tc>
          <w:tcPr>
            <w:tcW w:w="2640" w:type="dxa"/>
            <w:vAlign w:val="bottom"/>
            <w:gridSpan w:val="4"/>
            <w:shd w:val="clear" w:color="auto" w:fill="B2EEDE"/>
          </w:tcPr>
          <w:p>
            <w:pPr>
              <w:ind w:left="44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4"/>
                <w:szCs w:val="14"/>
                <w:b w:val="1"/>
                <w:bCs w:val="1"/>
                <w:color w:val="auto"/>
              </w:rPr>
              <w:t>​</w:t>
            </w:r>
          </w:p>
        </w:tc>
        <w:tc>
          <w:tcPr>
            <w:tcW w:w="120" w:type="dxa"/>
            <w:vAlign w:val="bottom"/>
            <w:shd w:val="clear" w:color="auto" w:fill="B2EEDE"/>
          </w:tcPr>
          <w:p>
            <w:pPr>
              <w:ind w:left="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center"/>
              <w:ind w:right="67"/>
              <w:spacing w:after="0"/>
              <w:rPr>
                <w:sz w:val="20"/>
                <w:szCs w:val="20"/>
                <w:color w:val="auto"/>
              </w:rPr>
            </w:pPr>
            <w:r>
              <w:rPr>
                <w:rFonts w:ascii="Arial" w:cs="Arial" w:eastAsia="Arial" w:hAnsi="Arial"/>
                <w:sz w:val="14"/>
                <w:szCs w:val="14"/>
                <w:b w:val="1"/>
                <w:bCs w:val="1"/>
                <w:color w:val="auto"/>
              </w:rPr>
              <w:t>Director</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Governance</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Human Resources</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Name</w:t>
            </w:r>
          </w:p>
        </w:tc>
        <w:tc>
          <w:tcPr>
            <w:tcW w:w="360" w:type="dxa"/>
            <w:vAlign w:val="bottom"/>
          </w:tcPr>
          <w:p>
            <w:pPr>
              <w:spacing w:after="0"/>
              <w:rPr>
                <w:sz w:val="17"/>
                <w:szCs w:val="17"/>
                <w:color w:val="auto"/>
              </w:rPr>
            </w:pPr>
          </w:p>
        </w:tc>
        <w:tc>
          <w:tcPr>
            <w:tcW w:w="940" w:type="dxa"/>
            <w:vAlign w:val="bottom"/>
            <w:gridSpan w:val="4"/>
          </w:tcPr>
          <w:p>
            <w:pPr>
              <w:ind w:left="260"/>
              <w:spacing w:after="0" w:line="199" w:lineRule="exact"/>
              <w:rPr>
                <w:sz w:val="20"/>
                <w:szCs w:val="20"/>
                <w:color w:val="auto"/>
              </w:rPr>
            </w:pPr>
            <w:r>
              <w:rPr>
                <w:rFonts w:ascii="Arial" w:cs="Arial" w:eastAsia="Arial" w:hAnsi="Arial"/>
                <w:sz w:val="12"/>
                <w:szCs w:val="12"/>
                <w:b w:val="1"/>
                <w:bCs w:val="1"/>
                <w:color w:val="auto"/>
              </w:rPr>
              <w:t xml:space="preserve">​ ​ </w:t>
            </w:r>
            <w:r>
              <w:rPr>
                <w:rFonts w:ascii="Arial" w:cs="Arial" w:eastAsia="Arial" w:hAnsi="Arial"/>
                <w:sz w:val="22"/>
                <w:szCs w:val="22"/>
                <w:b w:val="1"/>
                <w:bCs w:val="1"/>
                <w:color w:val="auto"/>
                <w:vertAlign w:val="superscript"/>
              </w:rPr>
              <w:t>Age</w:t>
            </w:r>
            <w:r>
              <w:rPr>
                <w:rFonts w:ascii="Arial" w:cs="Arial" w:eastAsia="Arial" w:hAnsi="Arial"/>
                <w:sz w:val="12"/>
                <w:szCs w:val="12"/>
                <w:b w:val="1"/>
                <w:bCs w:val="1"/>
                <w:color w:val="auto"/>
              </w:rPr>
              <w:t xml:space="preserve"> ​ ​</w:t>
            </w:r>
          </w:p>
        </w:tc>
        <w:tc>
          <w:tcPr>
            <w:tcW w:w="500" w:type="dxa"/>
            <w:vAlign w:val="bottom"/>
          </w:tcPr>
          <w:p>
            <w:pPr>
              <w:jc w:val="center"/>
              <w:ind w:left="7"/>
              <w:spacing w:after="0"/>
              <w:rPr>
                <w:sz w:val="20"/>
                <w:szCs w:val="20"/>
                <w:color w:val="auto"/>
              </w:rPr>
            </w:pPr>
            <w:r>
              <w:rPr>
                <w:rFonts w:ascii="Arial" w:cs="Arial" w:eastAsia="Arial" w:hAnsi="Arial"/>
                <w:sz w:val="14"/>
                <w:szCs w:val="14"/>
                <w:b w:val="1"/>
                <w:bCs w:val="1"/>
                <w:color w:val="auto"/>
              </w:rPr>
              <w:t>Since</w:t>
            </w:r>
          </w:p>
        </w:tc>
        <w:tc>
          <w:tcPr>
            <w:tcW w:w="2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3"/>
          </w:tcPr>
          <w:p>
            <w:pPr>
              <w:ind w:left="8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Audit </w:t>
            </w:r>
            <w:r>
              <w:rPr>
                <w:rFonts w:ascii="Arial" w:cs="Arial" w:eastAsia="Arial" w:hAnsi="Arial"/>
                <w:sz w:val="22"/>
                <w:szCs w:val="22"/>
                <w:b w:val="1"/>
                <w:bCs w:val="1"/>
                <w:color w:val="auto"/>
                <w:vertAlign w:val="subscript"/>
              </w:rPr>
              <w:t>​</w:t>
            </w:r>
          </w:p>
        </w:tc>
        <w:tc>
          <w:tcPr>
            <w:tcW w:w="1260" w:type="dxa"/>
            <w:vAlign w:val="bottom"/>
            <w:gridSpan w:val="2"/>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and Compliance</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3"/>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and Compensation </w:t>
            </w:r>
            <w:r>
              <w:rPr>
                <w:rFonts w:ascii="Arial" w:cs="Arial" w:eastAsia="Arial" w:hAnsi="Arial"/>
                <w:sz w:val="22"/>
                <w:szCs w:val="22"/>
                <w:b w:val="1"/>
                <w:bCs w:val="1"/>
                <w:color w:val="auto"/>
                <w:vertAlign w:val="subscript"/>
              </w:rPr>
              <w:t>​</w:t>
            </w:r>
          </w:p>
        </w:tc>
        <w:tc>
          <w:tcPr>
            <w:tcW w:w="162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Recent Experience</w:t>
            </w:r>
          </w:p>
        </w:tc>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1"/>
        </w:trPr>
        <w:tc>
          <w:tcPr>
            <w:tcW w:w="2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MARC YOSKOWITZ</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880" w:type="dxa"/>
            <w:vAlign w:val="bottom"/>
          </w:tcPr>
          <w:p>
            <w:pPr>
              <w:ind w:left="1000"/>
              <w:spacing w:after="0" w:line="149" w:lineRule="exact"/>
              <w:rPr>
                <w:sz w:val="20"/>
                <w:szCs w:val="20"/>
                <w:color w:val="auto"/>
              </w:rPr>
            </w:pPr>
            <w:r>
              <w:rPr>
                <w:rFonts w:ascii="Arial" w:cs="Arial" w:eastAsia="Arial" w:hAnsi="Arial"/>
                <w:sz w:val="14"/>
                <w:szCs w:val="14"/>
                <w:color w:val="auto"/>
              </w:rPr>
              <w:t>Board Chair</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6"/>
        </w:trPr>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1880" w:type="dxa"/>
            <w:vAlign w:val="bottom"/>
          </w:tcPr>
          <w:p>
            <w:pPr>
              <w:ind w:left="820"/>
              <w:spacing w:after="0"/>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b w:val="1"/>
                <w:bCs w:val="1"/>
                <w:color w:val="7F7F7F"/>
              </w:rPr>
              <w:t xml:space="preserve"> Independent</w:t>
            </w:r>
          </w:p>
        </w:tc>
        <w:tc>
          <w:tcPr>
            <w:tcW w:w="360" w:type="dxa"/>
            <w:vAlign w:val="bottom"/>
          </w:tcPr>
          <w:p>
            <w:pPr>
              <w:spacing w:after="0"/>
              <w:rPr>
                <w:sz w:val="24"/>
                <w:szCs w:val="2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 ​</w:t>
            </w:r>
          </w:p>
        </w:tc>
        <w:tc>
          <w:tcPr>
            <w:tcW w:w="260" w:type="dxa"/>
            <w:vAlign w:val="bottom"/>
          </w:tcPr>
          <w:p>
            <w:pPr>
              <w:jc w:val="right"/>
              <w:spacing w:after="0"/>
              <w:rPr>
                <w:sz w:val="20"/>
                <w:szCs w:val="20"/>
                <w:color w:val="auto"/>
              </w:rPr>
            </w:pPr>
            <w:r>
              <w:rPr>
                <w:rFonts w:ascii="Arial" w:cs="Arial" w:eastAsia="Arial" w:hAnsi="Arial"/>
                <w:sz w:val="14"/>
                <w:szCs w:val="14"/>
                <w:color w:val="auto"/>
              </w:rPr>
              <w:t>51</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rPr>
                <w:sz w:val="20"/>
                <w:szCs w:val="20"/>
                <w:color w:val="auto"/>
              </w:rPr>
            </w:pPr>
            <w:r>
              <w:rPr>
                <w:rFonts w:ascii="Arial" w:cs="Arial" w:eastAsia="Arial" w:hAnsi="Arial"/>
                <w:sz w:val="14"/>
                <w:szCs w:val="14"/>
                <w:color w:val="auto"/>
              </w:rPr>
              <w:t>2025</w:t>
            </w:r>
          </w:p>
        </w:tc>
        <w:tc>
          <w:tcPr>
            <w:tcW w:w="2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60"/>
              <w:spacing w:after="0"/>
              <w:rPr>
                <w:sz w:val="20"/>
                <w:szCs w:val="20"/>
                <w:color w:val="auto"/>
              </w:rPr>
            </w:pPr>
            <w:r>
              <w:rPr>
                <w:rFonts w:ascii="Arial" w:cs="Arial" w:eastAsia="Arial" w:hAnsi="Arial"/>
                <w:sz w:val="14"/>
                <w:szCs w:val="14"/>
                <w:color w:val="auto"/>
              </w:rPr>
              <w:t>​ CEO of Evozyne</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20" w:type="dxa"/>
            <w:vAlign w:val="bottom"/>
          </w:tcPr>
          <w:p>
            <w:pPr>
              <w:spacing w:after="0"/>
              <w:rPr>
                <w:sz w:val="24"/>
                <w:szCs w:val="24"/>
                <w:color w:val="auto"/>
              </w:rPr>
            </w:pPr>
          </w:p>
        </w:tc>
        <w:tc>
          <w:tcPr>
            <w:tcW w:w="2700" w:type="dxa"/>
            <w:vAlign w:val="bottom"/>
            <w:gridSpan w:val="4"/>
          </w:tcPr>
          <w:p>
            <w:pPr>
              <w:ind w:left="1000"/>
              <w:spacing w:after="0"/>
              <w:rPr>
                <w:sz w:val="20"/>
                <w:szCs w:val="20"/>
                <w:color w:val="auto"/>
              </w:rPr>
            </w:pPr>
            <w:r>
              <w:rPr>
                <w:rFonts w:ascii="Arial" w:cs="Arial" w:eastAsia="Arial" w:hAnsi="Arial"/>
                <w:sz w:val="14"/>
                <w:szCs w:val="14"/>
                <w:b w:val="1"/>
                <w:bCs w:val="1"/>
                <w:color w:val="auto"/>
              </w:rPr>
              <w:t>SIGURDUR (Siggi) O.</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President and Chief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1880" w:type="dxa"/>
            <w:vAlign w:val="bottom"/>
            <w:vMerge w:val="restart"/>
          </w:tcPr>
          <w:p>
            <w:pPr>
              <w:ind w:left="1000"/>
              <w:spacing w:after="0" w:line="145" w:lineRule="exact"/>
              <w:rPr>
                <w:sz w:val="20"/>
                <w:szCs w:val="20"/>
                <w:color w:val="auto"/>
              </w:rPr>
            </w:pPr>
            <w:r>
              <w:rPr>
                <w:rFonts w:ascii="Arial" w:cs="Arial" w:eastAsia="Arial" w:hAnsi="Arial"/>
                <w:sz w:val="14"/>
                <w:szCs w:val="14"/>
                <w:b w:val="1"/>
                <w:bCs w:val="1"/>
                <w:color w:val="auto"/>
              </w:rPr>
              <w:t>OLAFSSON</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2240" w:type="dxa"/>
            <w:vAlign w:val="bottom"/>
            <w:gridSpan w:val="2"/>
          </w:tcPr>
          <w:p>
            <w:pPr>
              <w:ind w:left="820"/>
              <w:spacing w:after="0" w:line="162" w:lineRule="exact"/>
              <w:rPr>
                <w:sz w:val="20"/>
                <w:szCs w:val="20"/>
                <w:color w:val="auto"/>
              </w:rPr>
            </w:pPr>
            <w:r>
              <w:rPr>
                <w:rFonts w:ascii="Arial" w:cs="Arial" w:eastAsia="Arial" w:hAnsi="Arial"/>
                <w:sz w:val="18"/>
                <w:szCs w:val="18"/>
                <w:color w:val="auto"/>
                <w:vertAlign w:val="superscript"/>
              </w:rPr>
              <w:t>​ ​</w:t>
            </w:r>
            <w:r>
              <w:rPr>
                <w:rFonts w:ascii="Arial" w:cs="Arial" w:eastAsia="Arial" w:hAnsi="Arial"/>
                <w:sz w:val="11"/>
                <w:szCs w:val="11"/>
                <w:color w:val="auto"/>
              </w:rPr>
              <w:t xml:space="preserve"> President and CEO</w:t>
            </w: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 ​</w:t>
            </w:r>
          </w:p>
        </w:tc>
        <w:tc>
          <w:tcPr>
            <w:tcW w:w="260" w:type="dxa"/>
            <w:vAlign w:val="bottom"/>
          </w:tcPr>
          <w:p>
            <w:pPr>
              <w:jc w:val="right"/>
              <w:spacing w:after="0"/>
              <w:rPr>
                <w:sz w:val="20"/>
                <w:szCs w:val="20"/>
                <w:color w:val="auto"/>
              </w:rPr>
            </w:pPr>
            <w:r>
              <w:rPr>
                <w:rFonts w:ascii="Arial" w:cs="Arial" w:eastAsia="Arial" w:hAnsi="Arial"/>
                <w:sz w:val="14"/>
                <w:szCs w:val="14"/>
                <w:color w:val="auto"/>
              </w:rPr>
              <w:t>57</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rPr>
                <w:sz w:val="20"/>
                <w:szCs w:val="20"/>
                <w:color w:val="auto"/>
              </w:rPr>
            </w:pPr>
            <w:r>
              <w:rPr>
                <w:rFonts w:ascii="Arial" w:cs="Arial" w:eastAsia="Arial" w:hAnsi="Arial"/>
                <w:sz w:val="14"/>
                <w:szCs w:val="14"/>
                <w:color w:val="auto"/>
              </w:rPr>
              <w:t>2022</w:t>
            </w:r>
          </w:p>
        </w:tc>
        <w:tc>
          <w:tcPr>
            <w:tcW w:w="2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60"/>
              <w:spacing w:after="0"/>
              <w:rPr>
                <w:sz w:val="20"/>
                <w:szCs w:val="20"/>
                <w:color w:val="auto"/>
              </w:rPr>
            </w:pPr>
            <w:r>
              <w:rPr>
                <w:rFonts w:ascii="Arial" w:cs="Arial" w:eastAsia="Arial" w:hAnsi="Arial"/>
                <w:sz w:val="14"/>
                <w:szCs w:val="14"/>
                <w:color w:val="auto"/>
              </w:rPr>
              <w:t>​ Executive Officer of</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22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7F7F7F"/>
              </w:rPr>
              <w:t>Non-Independent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Keenova</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20" w:type="dxa"/>
            <w:vAlign w:val="bottom"/>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220" w:type="dxa"/>
            <w:vAlign w:val="bottom"/>
          </w:tcPr>
          <w:p>
            <w:pPr>
              <w:spacing w:after="0"/>
              <w:rPr>
                <w:sz w:val="24"/>
                <w:szCs w:val="24"/>
                <w:color w:val="auto"/>
              </w:rPr>
            </w:pPr>
          </w:p>
        </w:tc>
        <w:tc>
          <w:tcPr>
            <w:tcW w:w="2240" w:type="dxa"/>
            <w:vAlign w:val="bottom"/>
            <w:gridSpan w:val="2"/>
          </w:tcPr>
          <w:p>
            <w:pPr>
              <w:ind w:left="1000"/>
              <w:spacing w:after="0"/>
              <w:rPr>
                <w:sz w:val="20"/>
                <w:szCs w:val="20"/>
                <w:color w:val="auto"/>
              </w:rPr>
            </w:pPr>
            <w:r>
              <w:rPr>
                <w:rFonts w:ascii="Arial" w:cs="Arial" w:eastAsia="Arial" w:hAnsi="Arial"/>
                <w:sz w:val="14"/>
                <w:szCs w:val="14"/>
                <w:b w:val="1"/>
                <w:bCs w:val="1"/>
                <w:color w:val="auto"/>
              </w:rPr>
              <w:t>PAUL M. BISARO</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Former Executive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1880" w:type="dxa"/>
            <w:vAlign w:val="bottom"/>
          </w:tcPr>
          <w:p>
            <w:pPr>
              <w:ind w:left="820"/>
              <w:spacing w:after="0"/>
              <w:rPr>
                <w:sz w:val="20"/>
                <w:szCs w:val="20"/>
                <w:color w:val="auto"/>
              </w:rPr>
            </w:pPr>
            <w:r>
              <w:rPr>
                <w:rFonts w:ascii="Arial" w:cs="Arial" w:eastAsia="Arial" w:hAnsi="Arial"/>
                <w:sz w:val="14"/>
                <w:szCs w:val="14"/>
                <w:color w:val="auto"/>
              </w:rPr>
              <w:t>​ ​ Director</w:t>
            </w:r>
          </w:p>
        </w:tc>
        <w:tc>
          <w:tcPr>
            <w:tcW w:w="360" w:type="dxa"/>
            <w:vAlign w:val="bottom"/>
          </w:tcPr>
          <w:p>
            <w:pPr>
              <w:spacing w:after="0"/>
              <w:rPr>
                <w:sz w:val="15"/>
                <w:szCs w:val="15"/>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 ​</w:t>
            </w:r>
          </w:p>
        </w:tc>
        <w:tc>
          <w:tcPr>
            <w:tcW w:w="26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rPr>
                <w:sz w:val="20"/>
                <w:szCs w:val="20"/>
                <w:color w:val="auto"/>
              </w:rPr>
            </w:pPr>
            <w:r>
              <w:rPr>
                <w:rFonts w:ascii="Arial" w:cs="Arial" w:eastAsia="Arial" w:hAnsi="Arial"/>
                <w:sz w:val="14"/>
                <w:szCs w:val="14"/>
                <w:color w:val="auto"/>
              </w:rPr>
              <w:t>2024</w:t>
            </w:r>
          </w:p>
        </w:tc>
        <w:tc>
          <w:tcPr>
            <w:tcW w:w="2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60"/>
              <w:spacing w:after="0"/>
              <w:rPr>
                <w:sz w:val="20"/>
                <w:szCs w:val="20"/>
                <w:color w:val="auto"/>
              </w:rPr>
            </w:pPr>
            <w:r>
              <w:rPr>
                <w:rFonts w:ascii="Arial" w:cs="Arial" w:eastAsia="Arial" w:hAnsi="Arial"/>
                <w:sz w:val="14"/>
                <w:szCs w:val="14"/>
                <w:color w:val="auto"/>
              </w:rPr>
              <w:t>​ Chairman of Amneal</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880" w:type="dxa"/>
            <w:vAlign w:val="bottom"/>
          </w:tcPr>
          <w:p>
            <w:pPr>
              <w:ind w:left="1000"/>
              <w:spacing w:after="0"/>
              <w:rPr>
                <w:sz w:val="20"/>
                <w:szCs w:val="20"/>
                <w:color w:val="auto"/>
              </w:rPr>
            </w:pPr>
            <w:r>
              <w:rPr>
                <w:rFonts w:ascii="Arial" w:cs="Arial" w:eastAsia="Arial" w:hAnsi="Arial"/>
                <w:sz w:val="14"/>
                <w:szCs w:val="14"/>
                <w:b w:val="1"/>
                <w:bCs w:val="1"/>
                <w:color w:val="7F7F7F"/>
              </w:rPr>
              <w:t>Independent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Pharmaceuticals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22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LESLIE DONATO</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Former Executive Vice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President and Chief</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880" w:type="dxa"/>
            <w:vAlign w:val="bottom"/>
          </w:tcPr>
          <w:p>
            <w:pPr>
              <w:ind w:left="820"/>
              <w:spacing w:after="0" w:line="158" w:lineRule="exact"/>
              <w:rPr>
                <w:sz w:val="20"/>
                <w:szCs w:val="20"/>
                <w:color w:val="auto"/>
              </w:rPr>
            </w:pPr>
            <w:r>
              <w:rPr>
                <w:rFonts w:ascii="Arial" w:cs="Arial" w:eastAsia="Arial" w:hAnsi="Arial"/>
                <w:sz w:val="14"/>
                <w:szCs w:val="14"/>
                <w:color w:val="auto"/>
              </w:rPr>
              <w:t>​ ​ Director</w:t>
            </w:r>
          </w:p>
        </w:tc>
        <w:tc>
          <w:tcPr>
            <w:tcW w:w="360" w:type="dxa"/>
            <w:vAlign w:val="bottom"/>
          </w:tcPr>
          <w:p>
            <w:pPr>
              <w:spacing w:after="0"/>
              <w:rPr>
                <w:sz w:val="13"/>
                <w:szCs w:val="13"/>
                <w:color w:val="auto"/>
              </w:rPr>
            </w:pPr>
          </w:p>
        </w:tc>
        <w:tc>
          <w:tcPr>
            <w:tcW w:w="46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 ​</w:t>
            </w: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auto"/>
              </w:rPr>
              <w:t>57</w:t>
            </w:r>
          </w:p>
        </w:tc>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line="158" w:lineRule="exact"/>
              <w:rPr>
                <w:sz w:val="20"/>
                <w:szCs w:val="20"/>
                <w:color w:val="auto"/>
              </w:rPr>
            </w:pPr>
            <w:r>
              <w:rPr>
                <w:rFonts w:ascii="Arial" w:cs="Arial" w:eastAsia="Arial" w:hAnsi="Arial"/>
                <w:sz w:val="14"/>
                <w:szCs w:val="14"/>
                <w:color w:val="auto"/>
              </w:rPr>
              <w:t>2025</w:t>
            </w:r>
          </w:p>
        </w:tc>
        <w:tc>
          <w:tcPr>
            <w:tcW w:w="20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ind w:left="8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100" w:type="dxa"/>
            <w:vAlign w:val="bottom"/>
          </w:tcPr>
          <w:p>
            <w:pPr>
              <w:ind w:left="5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320" w:type="dxa"/>
            <w:vAlign w:val="bottom"/>
          </w:tcPr>
          <w:p>
            <w:pPr>
              <w:spacing w:after="0"/>
              <w:rPr>
                <w:sz w:val="13"/>
                <w:szCs w:val="13"/>
                <w:color w:val="auto"/>
              </w:rPr>
            </w:pPr>
          </w:p>
        </w:tc>
        <w:tc>
          <w:tcPr>
            <w:tcW w:w="24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 ​</w:t>
            </w:r>
          </w:p>
        </w:tc>
        <w:tc>
          <w:tcPr>
            <w:tcW w:w="1500" w:type="dxa"/>
            <w:vAlign w:val="bottom"/>
            <w:vMerge w:val="continue"/>
          </w:tcPr>
          <w:p>
            <w:pPr>
              <w:spacing w:after="0"/>
              <w:rPr>
                <w:sz w:val="13"/>
                <w:szCs w:val="13"/>
                <w:color w:val="auto"/>
              </w:rPr>
            </w:pPr>
          </w:p>
        </w:tc>
        <w:tc>
          <w:tcPr>
            <w:tcW w:w="16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9"/>
        </w:trPr>
        <w:tc>
          <w:tcPr>
            <w:tcW w:w="220" w:type="dxa"/>
            <w:vAlign w:val="bottom"/>
          </w:tcPr>
          <w:p>
            <w:pPr>
              <w:spacing w:after="0"/>
              <w:rPr>
                <w:sz w:val="8"/>
                <w:szCs w:val="8"/>
                <w:color w:val="auto"/>
              </w:rPr>
            </w:pPr>
          </w:p>
        </w:tc>
        <w:tc>
          <w:tcPr>
            <w:tcW w:w="1880" w:type="dxa"/>
            <w:vAlign w:val="bottom"/>
            <w:vMerge w:val="restart"/>
          </w:tcPr>
          <w:p>
            <w:pPr>
              <w:ind w:left="1000"/>
              <w:spacing w:after="0"/>
              <w:rPr>
                <w:sz w:val="20"/>
                <w:szCs w:val="20"/>
                <w:color w:val="auto"/>
              </w:rPr>
            </w:pPr>
            <w:r>
              <w:rPr>
                <w:rFonts w:ascii="Arial" w:cs="Arial" w:eastAsia="Arial" w:hAnsi="Arial"/>
                <w:sz w:val="14"/>
                <w:szCs w:val="14"/>
                <w:b w:val="1"/>
                <w:bCs w:val="1"/>
                <w:color w:val="7F7F7F"/>
              </w:rPr>
              <w:t>Independent</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ind w:left="20"/>
              <w:spacing w:after="0" w:line="99" w:lineRule="exact"/>
              <w:rPr>
                <w:sz w:val="20"/>
                <w:szCs w:val="20"/>
                <w:color w:val="auto"/>
              </w:rPr>
            </w:pPr>
            <w:r>
              <w:rPr>
                <w:rFonts w:ascii="Arial" w:cs="Arial" w:eastAsia="Arial" w:hAnsi="Arial"/>
                <w:sz w:val="11"/>
                <w:szCs w:val="11"/>
                <w:color w:val="auto"/>
              </w:rPr>
              <w:t>Strategy Officer at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Cencora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2"/>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220" w:type="dxa"/>
            <w:vAlign w:val="bottom"/>
          </w:tcPr>
          <w:p>
            <w:pPr>
              <w:spacing w:after="0"/>
              <w:rPr>
                <w:sz w:val="24"/>
                <w:szCs w:val="24"/>
                <w:color w:val="auto"/>
              </w:rPr>
            </w:pPr>
          </w:p>
        </w:tc>
        <w:tc>
          <w:tcPr>
            <w:tcW w:w="2240" w:type="dxa"/>
            <w:vAlign w:val="bottom"/>
            <w:gridSpan w:val="2"/>
          </w:tcPr>
          <w:p>
            <w:pPr>
              <w:ind w:left="1000"/>
              <w:spacing w:after="0"/>
              <w:rPr>
                <w:sz w:val="20"/>
                <w:szCs w:val="20"/>
                <w:color w:val="auto"/>
              </w:rPr>
            </w:pPr>
            <w:r>
              <w:rPr>
                <w:rFonts w:ascii="Arial" w:cs="Arial" w:eastAsia="Arial" w:hAnsi="Arial"/>
                <w:sz w:val="14"/>
                <w:szCs w:val="14"/>
                <w:b w:val="1"/>
                <w:bCs w:val="1"/>
                <w:color w:val="auto"/>
              </w:rPr>
              <w:t>KATINA DORTON</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Former Chief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1880" w:type="dxa"/>
            <w:vAlign w:val="bottom"/>
          </w:tcPr>
          <w:p>
            <w:pPr>
              <w:ind w:left="820"/>
              <w:spacing w:after="0"/>
              <w:rPr>
                <w:sz w:val="20"/>
                <w:szCs w:val="20"/>
                <w:color w:val="auto"/>
              </w:rPr>
            </w:pPr>
            <w:r>
              <w:rPr>
                <w:rFonts w:ascii="Arial" w:cs="Arial" w:eastAsia="Arial" w:hAnsi="Arial"/>
                <w:sz w:val="14"/>
                <w:szCs w:val="14"/>
                <w:color w:val="auto"/>
              </w:rPr>
              <w:t>​ ​ Director</w:t>
            </w:r>
          </w:p>
        </w:tc>
        <w:tc>
          <w:tcPr>
            <w:tcW w:w="360" w:type="dxa"/>
            <w:vAlign w:val="bottom"/>
          </w:tcPr>
          <w:p>
            <w:pPr>
              <w:spacing w:after="0"/>
              <w:rPr>
                <w:sz w:val="15"/>
                <w:szCs w:val="15"/>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 ​</w:t>
            </w:r>
          </w:p>
        </w:tc>
        <w:tc>
          <w:tcPr>
            <w:tcW w:w="260" w:type="dxa"/>
            <w:vAlign w:val="bottom"/>
          </w:tcPr>
          <w:p>
            <w:pPr>
              <w:jc w:val="right"/>
              <w:spacing w:after="0"/>
              <w:rPr>
                <w:sz w:val="20"/>
                <w:szCs w:val="20"/>
                <w:color w:val="auto"/>
              </w:rPr>
            </w:pPr>
            <w:r>
              <w:rPr>
                <w:rFonts w:ascii="Arial" w:cs="Arial" w:eastAsia="Arial" w:hAnsi="Arial"/>
                <w:sz w:val="14"/>
                <w:szCs w:val="14"/>
                <w:color w:val="auto"/>
              </w:rPr>
              <w:t>68</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rPr>
                <w:sz w:val="20"/>
                <w:szCs w:val="20"/>
                <w:color w:val="auto"/>
              </w:rPr>
            </w:pPr>
            <w:r>
              <w:rPr>
                <w:rFonts w:ascii="Arial" w:cs="Arial" w:eastAsia="Arial" w:hAnsi="Arial"/>
                <w:sz w:val="14"/>
                <w:szCs w:val="14"/>
                <w:color w:val="auto"/>
              </w:rPr>
              <w:t>2024</w:t>
            </w:r>
          </w:p>
        </w:tc>
        <w:tc>
          <w:tcPr>
            <w:tcW w:w="2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60"/>
              <w:spacing w:after="0"/>
              <w:rPr>
                <w:sz w:val="20"/>
                <w:szCs w:val="20"/>
                <w:color w:val="auto"/>
              </w:rPr>
            </w:pPr>
            <w:r>
              <w:rPr>
                <w:rFonts w:ascii="Arial" w:cs="Arial" w:eastAsia="Arial" w:hAnsi="Arial"/>
                <w:sz w:val="14"/>
                <w:szCs w:val="14"/>
                <w:color w:val="auto"/>
              </w:rPr>
              <w:t>​ Financial Officer</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880" w:type="dxa"/>
            <w:vAlign w:val="bottom"/>
          </w:tcPr>
          <w:p>
            <w:pPr>
              <w:ind w:left="1000"/>
              <w:spacing w:after="0"/>
              <w:rPr>
                <w:sz w:val="20"/>
                <w:szCs w:val="20"/>
                <w:color w:val="auto"/>
              </w:rPr>
            </w:pPr>
            <w:r>
              <w:rPr>
                <w:rFonts w:ascii="Arial" w:cs="Arial" w:eastAsia="Arial" w:hAnsi="Arial"/>
                <w:sz w:val="14"/>
                <w:szCs w:val="14"/>
                <w:b w:val="1"/>
                <w:bCs w:val="1"/>
                <w:color w:val="7F7F7F"/>
              </w:rPr>
              <w:t>Independent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of NodThera</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20" w:type="dxa"/>
            <w:vAlign w:val="bottom"/>
          </w:tcPr>
          <w:p>
            <w:pPr>
              <w:spacing w:after="0"/>
              <w:rPr>
                <w:sz w:val="24"/>
                <w:szCs w:val="24"/>
                <w:color w:val="auto"/>
              </w:rPr>
            </w:pPr>
          </w:p>
        </w:tc>
        <w:tc>
          <w:tcPr>
            <w:tcW w:w="2240" w:type="dxa"/>
            <w:vAlign w:val="bottom"/>
            <w:gridSpan w:val="2"/>
          </w:tcPr>
          <w:p>
            <w:pPr>
              <w:ind w:left="1000"/>
              <w:spacing w:after="0"/>
              <w:rPr>
                <w:sz w:val="20"/>
                <w:szCs w:val="20"/>
                <w:color w:val="auto"/>
              </w:rPr>
            </w:pPr>
            <w:r>
              <w:rPr>
                <w:rFonts w:ascii="Arial" w:cs="Arial" w:eastAsia="Arial" w:hAnsi="Arial"/>
                <w:sz w:val="14"/>
                <w:szCs w:val="14"/>
                <w:b w:val="1"/>
                <w:bCs w:val="1"/>
                <w:color w:val="auto"/>
              </w:rPr>
              <w:t>PAUL EFRON</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Senior Advisor to</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880" w:type="dxa"/>
            <w:vAlign w:val="bottom"/>
          </w:tcPr>
          <w:p>
            <w:pPr>
              <w:ind w:left="820"/>
              <w:spacing w:after="0" w:line="158" w:lineRule="exact"/>
              <w:rPr>
                <w:sz w:val="20"/>
                <w:szCs w:val="20"/>
                <w:color w:val="auto"/>
              </w:rPr>
            </w:pPr>
            <w:r>
              <w:rPr>
                <w:rFonts w:ascii="Arial" w:cs="Arial" w:eastAsia="Arial" w:hAnsi="Arial"/>
                <w:sz w:val="14"/>
                <w:szCs w:val="14"/>
                <w:color w:val="auto"/>
              </w:rPr>
              <w:t>​ ​ Director</w:t>
            </w:r>
          </w:p>
        </w:tc>
        <w:tc>
          <w:tcPr>
            <w:tcW w:w="360" w:type="dxa"/>
            <w:vAlign w:val="bottom"/>
          </w:tcPr>
          <w:p>
            <w:pPr>
              <w:spacing w:after="0"/>
              <w:rPr>
                <w:sz w:val="13"/>
                <w:szCs w:val="13"/>
                <w:color w:val="auto"/>
              </w:rPr>
            </w:pPr>
          </w:p>
        </w:tc>
        <w:tc>
          <w:tcPr>
            <w:tcW w:w="46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 ​</w:t>
            </w: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auto"/>
              </w:rPr>
              <w:t>71</w:t>
            </w:r>
          </w:p>
        </w:tc>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line="158" w:lineRule="exact"/>
              <w:rPr>
                <w:sz w:val="20"/>
                <w:szCs w:val="20"/>
                <w:color w:val="auto"/>
              </w:rPr>
            </w:pPr>
            <w:r>
              <w:rPr>
                <w:rFonts w:ascii="Arial" w:cs="Arial" w:eastAsia="Arial" w:hAnsi="Arial"/>
                <w:sz w:val="14"/>
                <w:szCs w:val="14"/>
                <w:color w:val="auto"/>
              </w:rPr>
              <w:t>2025</w:t>
            </w:r>
          </w:p>
        </w:tc>
        <w:tc>
          <w:tcPr>
            <w:tcW w:w="20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ind w:left="8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100" w:type="dxa"/>
            <w:vAlign w:val="bottom"/>
          </w:tcPr>
          <w:p>
            <w:pPr>
              <w:spacing w:after="0"/>
              <w:rPr>
                <w:sz w:val="13"/>
                <w:szCs w:val="13"/>
                <w:color w:val="auto"/>
              </w:rPr>
            </w:pP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320" w:type="dxa"/>
            <w:vAlign w:val="bottom"/>
          </w:tcPr>
          <w:p>
            <w:pPr>
              <w:ind w:left="66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 ​</w:t>
            </w:r>
          </w:p>
        </w:tc>
        <w:tc>
          <w:tcPr>
            <w:tcW w:w="1500" w:type="dxa"/>
            <w:vAlign w:val="bottom"/>
            <w:vMerge w:val="continue"/>
          </w:tcPr>
          <w:p>
            <w:pPr>
              <w:spacing w:after="0"/>
              <w:rPr>
                <w:sz w:val="13"/>
                <w:szCs w:val="13"/>
                <w:color w:val="auto"/>
              </w:rPr>
            </w:pPr>
          </w:p>
        </w:tc>
        <w:tc>
          <w:tcPr>
            <w:tcW w:w="16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880" w:type="dxa"/>
            <w:vAlign w:val="bottom"/>
            <w:vMerge w:val="restart"/>
          </w:tcPr>
          <w:p>
            <w:pPr>
              <w:ind w:left="1000"/>
              <w:spacing w:after="0"/>
              <w:rPr>
                <w:sz w:val="20"/>
                <w:szCs w:val="20"/>
                <w:color w:val="auto"/>
              </w:rPr>
            </w:pPr>
            <w:r>
              <w:rPr>
                <w:rFonts w:ascii="Arial" w:cs="Arial" w:eastAsia="Arial" w:hAnsi="Arial"/>
                <w:sz w:val="14"/>
                <w:szCs w:val="14"/>
                <w:b w:val="1"/>
                <w:bCs w:val="1"/>
                <w:color w:val="7F7F7F"/>
              </w:rPr>
              <w:t>Independent</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Star Mountain Capital</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20" w:type="dxa"/>
            <w:vAlign w:val="bottom"/>
          </w:tcPr>
          <w:p>
            <w:pPr>
              <w:spacing w:after="0"/>
              <w:rPr>
                <w:sz w:val="24"/>
                <w:szCs w:val="24"/>
                <w:color w:val="auto"/>
              </w:rPr>
            </w:pPr>
          </w:p>
        </w:tc>
        <w:tc>
          <w:tcPr>
            <w:tcW w:w="2240" w:type="dxa"/>
            <w:vAlign w:val="bottom"/>
            <w:gridSpan w:val="2"/>
          </w:tcPr>
          <w:p>
            <w:pPr>
              <w:ind w:left="1000"/>
              <w:spacing w:after="0"/>
              <w:rPr>
                <w:sz w:val="20"/>
                <w:szCs w:val="20"/>
                <w:color w:val="auto"/>
              </w:rPr>
            </w:pPr>
            <w:r>
              <w:rPr>
                <w:rFonts w:ascii="Arial" w:cs="Arial" w:eastAsia="Arial" w:hAnsi="Arial"/>
                <w:sz w:val="14"/>
                <w:szCs w:val="14"/>
                <w:b w:val="1"/>
                <w:bCs w:val="1"/>
                <w:color w:val="auto"/>
              </w:rPr>
              <w:t>SCOTT HIRSCH</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Former Interim CEO</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880" w:type="dxa"/>
            <w:vAlign w:val="bottom"/>
          </w:tcPr>
          <w:p>
            <w:pPr>
              <w:ind w:left="820"/>
              <w:spacing w:after="0" w:line="158" w:lineRule="exact"/>
              <w:rPr>
                <w:sz w:val="20"/>
                <w:szCs w:val="20"/>
                <w:color w:val="auto"/>
              </w:rPr>
            </w:pPr>
            <w:r>
              <w:rPr>
                <w:rFonts w:ascii="Arial" w:cs="Arial" w:eastAsia="Arial" w:hAnsi="Arial"/>
                <w:sz w:val="14"/>
                <w:szCs w:val="14"/>
                <w:color w:val="auto"/>
              </w:rPr>
              <w:t>​ ​ Director</w:t>
            </w:r>
          </w:p>
        </w:tc>
        <w:tc>
          <w:tcPr>
            <w:tcW w:w="360" w:type="dxa"/>
            <w:vAlign w:val="bottom"/>
          </w:tcPr>
          <w:p>
            <w:pPr>
              <w:spacing w:after="0"/>
              <w:rPr>
                <w:sz w:val="13"/>
                <w:szCs w:val="13"/>
                <w:color w:val="auto"/>
              </w:rPr>
            </w:pPr>
          </w:p>
        </w:tc>
        <w:tc>
          <w:tcPr>
            <w:tcW w:w="46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 ​</w:t>
            </w: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auto"/>
              </w:rPr>
              <w:t>49</w:t>
            </w:r>
          </w:p>
        </w:tc>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line="158" w:lineRule="exact"/>
              <w:rPr>
                <w:sz w:val="20"/>
                <w:szCs w:val="20"/>
                <w:color w:val="auto"/>
              </w:rPr>
            </w:pPr>
            <w:r>
              <w:rPr>
                <w:rFonts w:ascii="Arial" w:cs="Arial" w:eastAsia="Arial" w:hAnsi="Arial"/>
                <w:sz w:val="14"/>
                <w:szCs w:val="14"/>
                <w:color w:val="auto"/>
              </w:rPr>
              <w:t>2025</w:t>
            </w:r>
          </w:p>
        </w:tc>
        <w:tc>
          <w:tcPr>
            <w:tcW w:w="20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ind w:left="8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100" w:type="dxa"/>
            <w:vAlign w:val="bottom"/>
          </w:tcPr>
          <w:p>
            <w:pPr>
              <w:ind w:left="5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320" w:type="dxa"/>
            <w:vAlign w:val="bottom"/>
          </w:tcPr>
          <w:p>
            <w:pPr>
              <w:ind w:left="66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 ​</w:t>
            </w:r>
          </w:p>
        </w:tc>
        <w:tc>
          <w:tcPr>
            <w:tcW w:w="1500" w:type="dxa"/>
            <w:vAlign w:val="bottom"/>
            <w:vMerge w:val="continue"/>
          </w:tcPr>
          <w:p>
            <w:pPr>
              <w:spacing w:after="0"/>
              <w:rPr>
                <w:sz w:val="13"/>
                <w:szCs w:val="13"/>
                <w:color w:val="auto"/>
              </w:rPr>
            </w:pPr>
          </w:p>
        </w:tc>
        <w:tc>
          <w:tcPr>
            <w:tcW w:w="16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2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7F7F7F"/>
              </w:rPr>
              <w:t>Non-Independent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at Endo</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2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20" w:type="dxa"/>
            <w:vAlign w:val="bottom"/>
          </w:tcPr>
          <w:p>
            <w:pPr>
              <w:spacing w:after="0"/>
              <w:rPr>
                <w:sz w:val="24"/>
                <w:szCs w:val="24"/>
                <w:color w:val="auto"/>
              </w:rPr>
            </w:pPr>
          </w:p>
        </w:tc>
        <w:tc>
          <w:tcPr>
            <w:tcW w:w="2700" w:type="dxa"/>
            <w:vAlign w:val="bottom"/>
            <w:gridSpan w:val="4"/>
          </w:tcPr>
          <w:p>
            <w:pPr>
              <w:ind w:left="1000"/>
              <w:spacing w:after="0"/>
              <w:rPr>
                <w:sz w:val="20"/>
                <w:szCs w:val="20"/>
                <w:color w:val="auto"/>
              </w:rPr>
            </w:pPr>
            <w:r>
              <w:rPr>
                <w:rFonts w:ascii="Arial" w:cs="Arial" w:eastAsia="Arial" w:hAnsi="Arial"/>
                <w:sz w:val="14"/>
                <w:szCs w:val="14"/>
                <w:b w:val="1"/>
                <w:bCs w:val="1"/>
                <w:color w:val="auto"/>
              </w:rPr>
              <w:t>SOPHIA LANGLOIS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Former Partner with</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880" w:type="dxa"/>
            <w:vAlign w:val="bottom"/>
          </w:tcPr>
          <w:p>
            <w:pPr>
              <w:ind w:left="820"/>
              <w:spacing w:after="0" w:line="158" w:lineRule="exact"/>
              <w:rPr>
                <w:sz w:val="20"/>
                <w:szCs w:val="20"/>
                <w:color w:val="auto"/>
              </w:rPr>
            </w:pPr>
            <w:r>
              <w:rPr>
                <w:rFonts w:ascii="Arial" w:cs="Arial" w:eastAsia="Arial" w:hAnsi="Arial"/>
                <w:sz w:val="14"/>
                <w:szCs w:val="14"/>
                <w:color w:val="auto"/>
              </w:rPr>
              <w:t>​ ​ Director</w:t>
            </w:r>
          </w:p>
        </w:tc>
        <w:tc>
          <w:tcPr>
            <w:tcW w:w="360" w:type="dxa"/>
            <w:vAlign w:val="bottom"/>
          </w:tcPr>
          <w:p>
            <w:pPr>
              <w:spacing w:after="0"/>
              <w:rPr>
                <w:sz w:val="13"/>
                <w:szCs w:val="13"/>
                <w:color w:val="auto"/>
              </w:rPr>
            </w:pPr>
          </w:p>
        </w:tc>
        <w:tc>
          <w:tcPr>
            <w:tcW w:w="46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 ​</w:t>
            </w: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auto"/>
              </w:rPr>
              <w:t>56</w:t>
            </w:r>
          </w:p>
        </w:tc>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line="158" w:lineRule="exact"/>
              <w:rPr>
                <w:sz w:val="20"/>
                <w:szCs w:val="20"/>
                <w:color w:val="auto"/>
              </w:rPr>
            </w:pPr>
            <w:r>
              <w:rPr>
                <w:rFonts w:ascii="Arial" w:cs="Arial" w:eastAsia="Arial" w:hAnsi="Arial"/>
                <w:sz w:val="14"/>
                <w:szCs w:val="14"/>
                <w:color w:val="auto"/>
              </w:rPr>
              <w:t>2025</w:t>
            </w:r>
          </w:p>
        </w:tc>
        <w:tc>
          <w:tcPr>
            <w:tcW w:w="20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ind w:left="8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100" w:type="dxa"/>
            <w:vAlign w:val="bottom"/>
          </w:tcPr>
          <w:p>
            <w:pPr>
              <w:spacing w:after="0"/>
              <w:rPr>
                <w:sz w:val="13"/>
                <w:szCs w:val="13"/>
                <w:color w:val="auto"/>
              </w:rPr>
            </w:pP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320" w:type="dxa"/>
            <w:vAlign w:val="bottom"/>
          </w:tcPr>
          <w:p>
            <w:pPr>
              <w:ind w:left="66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 ​</w:t>
            </w:r>
          </w:p>
        </w:tc>
        <w:tc>
          <w:tcPr>
            <w:tcW w:w="1500" w:type="dxa"/>
            <w:vAlign w:val="bottom"/>
            <w:vMerge w:val="continue"/>
          </w:tcPr>
          <w:p>
            <w:pPr>
              <w:spacing w:after="0"/>
              <w:rPr>
                <w:sz w:val="13"/>
                <w:szCs w:val="13"/>
                <w:color w:val="auto"/>
              </w:rPr>
            </w:pPr>
          </w:p>
        </w:tc>
        <w:tc>
          <w:tcPr>
            <w:tcW w:w="16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880" w:type="dxa"/>
            <w:vAlign w:val="bottom"/>
            <w:vMerge w:val="restart"/>
          </w:tcPr>
          <w:p>
            <w:pPr>
              <w:ind w:left="1000"/>
              <w:spacing w:after="0"/>
              <w:rPr>
                <w:sz w:val="20"/>
                <w:szCs w:val="20"/>
                <w:color w:val="auto"/>
              </w:rPr>
            </w:pPr>
            <w:r>
              <w:rPr>
                <w:rFonts w:ascii="Arial" w:cs="Arial" w:eastAsia="Arial" w:hAnsi="Arial"/>
                <w:sz w:val="14"/>
                <w:szCs w:val="14"/>
                <w:b w:val="1"/>
                <w:bCs w:val="1"/>
                <w:color w:val="7F7F7F"/>
              </w:rPr>
              <w:t>Independent</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KPMG LLP</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20" w:type="dxa"/>
            <w:vAlign w:val="bottom"/>
          </w:tcPr>
          <w:p>
            <w:pPr>
              <w:spacing w:after="0"/>
              <w:rPr>
                <w:sz w:val="24"/>
                <w:szCs w:val="24"/>
                <w:color w:val="auto"/>
              </w:rPr>
            </w:pPr>
          </w:p>
        </w:tc>
        <w:tc>
          <w:tcPr>
            <w:tcW w:w="2700" w:type="dxa"/>
            <w:vAlign w:val="bottom"/>
            <w:gridSpan w:val="4"/>
          </w:tcPr>
          <w:p>
            <w:pPr>
              <w:ind w:left="1000"/>
              <w:spacing w:after="0"/>
              <w:rPr>
                <w:sz w:val="20"/>
                <w:szCs w:val="20"/>
                <w:color w:val="auto"/>
              </w:rPr>
            </w:pPr>
            <w:r>
              <w:rPr>
                <w:rFonts w:ascii="Arial" w:cs="Arial" w:eastAsia="Arial" w:hAnsi="Arial"/>
                <w:sz w:val="14"/>
                <w:szCs w:val="14"/>
                <w:b w:val="1"/>
                <w:bCs w:val="1"/>
                <w:color w:val="auto"/>
              </w:rPr>
              <w:t>JONATHAN ZINMAN</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Managing Member of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880" w:type="dxa"/>
            <w:vAlign w:val="bottom"/>
          </w:tcPr>
          <w:p>
            <w:pPr>
              <w:ind w:left="820"/>
              <w:spacing w:after="0" w:line="158" w:lineRule="exact"/>
              <w:rPr>
                <w:sz w:val="20"/>
                <w:szCs w:val="20"/>
                <w:color w:val="auto"/>
              </w:rPr>
            </w:pPr>
            <w:r>
              <w:rPr>
                <w:rFonts w:ascii="Arial" w:cs="Arial" w:eastAsia="Arial" w:hAnsi="Arial"/>
                <w:sz w:val="14"/>
                <w:szCs w:val="14"/>
                <w:color w:val="auto"/>
              </w:rPr>
              <w:t>​ ​ Director</w:t>
            </w:r>
          </w:p>
        </w:tc>
        <w:tc>
          <w:tcPr>
            <w:tcW w:w="360" w:type="dxa"/>
            <w:vAlign w:val="bottom"/>
          </w:tcPr>
          <w:p>
            <w:pPr>
              <w:spacing w:after="0"/>
              <w:rPr>
                <w:sz w:val="13"/>
                <w:szCs w:val="13"/>
                <w:color w:val="auto"/>
              </w:rPr>
            </w:pPr>
          </w:p>
        </w:tc>
        <w:tc>
          <w:tcPr>
            <w:tcW w:w="46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 ​</w:t>
            </w: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auto"/>
              </w:rPr>
              <w:t>45</w:t>
            </w:r>
          </w:p>
        </w:tc>
        <w:tc>
          <w:tcPr>
            <w:tcW w:w="220" w:type="dxa"/>
            <w:vAlign w:val="bottom"/>
          </w:tcPr>
          <w:p>
            <w:pPr>
              <w:ind w:left="60"/>
              <w:spacing w:after="0" w:line="158" w:lineRule="exact"/>
              <w:rPr>
                <w:sz w:val="20"/>
                <w:szCs w:val="20"/>
                <w:color w:val="auto"/>
              </w:rPr>
            </w:pPr>
            <w:r>
              <w:rPr>
                <w:rFonts w:ascii="Arial" w:cs="Arial" w:eastAsia="Arial" w:hAnsi="Arial"/>
                <w:sz w:val="14"/>
                <w:szCs w:val="14"/>
                <w:color w:val="auto"/>
              </w:rPr>
              <w:t>​ ​</w:t>
            </w:r>
          </w:p>
        </w:tc>
        <w:tc>
          <w:tcPr>
            <w:tcW w:w="500" w:type="dxa"/>
            <w:vAlign w:val="bottom"/>
          </w:tcPr>
          <w:p>
            <w:pPr>
              <w:jc w:val="center"/>
              <w:ind w:left="27"/>
              <w:spacing w:after="0" w:line="158" w:lineRule="exact"/>
              <w:rPr>
                <w:sz w:val="20"/>
                <w:szCs w:val="20"/>
                <w:color w:val="auto"/>
              </w:rPr>
            </w:pPr>
            <w:r>
              <w:rPr>
                <w:rFonts w:ascii="Arial" w:cs="Arial" w:eastAsia="Arial" w:hAnsi="Arial"/>
                <w:sz w:val="14"/>
                <w:szCs w:val="14"/>
                <w:color w:val="auto"/>
              </w:rPr>
              <w:t>2023</w:t>
            </w:r>
          </w:p>
        </w:tc>
        <w:tc>
          <w:tcPr>
            <w:tcW w:w="20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ind w:left="8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100" w:type="dxa"/>
            <w:vAlign w:val="bottom"/>
          </w:tcPr>
          <w:p>
            <w:pPr>
              <w:ind w:left="50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320" w:type="dxa"/>
            <w:vAlign w:val="bottom"/>
          </w:tcPr>
          <w:p>
            <w:pPr>
              <w:ind w:left="6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500" w:type="dxa"/>
            <w:vAlign w:val="bottom"/>
            <w:vMerge w:val="continue"/>
          </w:tcPr>
          <w:p>
            <w:pPr>
              <w:spacing w:after="0"/>
              <w:rPr>
                <w:sz w:val="13"/>
                <w:szCs w:val="13"/>
                <w:color w:val="auto"/>
              </w:rPr>
            </w:pPr>
          </w:p>
        </w:tc>
        <w:tc>
          <w:tcPr>
            <w:tcW w:w="16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880" w:type="dxa"/>
            <w:vAlign w:val="bottom"/>
            <w:vMerge w:val="restart"/>
          </w:tcPr>
          <w:p>
            <w:pPr>
              <w:ind w:left="1000"/>
              <w:spacing w:after="0"/>
              <w:rPr>
                <w:sz w:val="20"/>
                <w:szCs w:val="20"/>
                <w:color w:val="auto"/>
              </w:rPr>
            </w:pPr>
            <w:r>
              <w:rPr>
                <w:rFonts w:ascii="Arial" w:cs="Arial" w:eastAsia="Arial" w:hAnsi="Arial"/>
                <w:sz w:val="14"/>
                <w:szCs w:val="14"/>
                <w:b w:val="1"/>
                <w:bCs w:val="1"/>
                <w:color w:val="7F7F7F"/>
              </w:rPr>
              <w:t>Independent</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JZ Advisors LLC</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880" w:type="dxa"/>
            <w:vAlign w:val="bottom"/>
          </w:tcPr>
          <w:p>
            <w:pPr>
              <w:ind w:left="60"/>
              <w:spacing w:after="0"/>
              <w:rPr>
                <w:sz w:val="20"/>
                <w:szCs w:val="20"/>
                <w:color w:val="auto"/>
              </w:rPr>
            </w:pPr>
            <w:r>
              <w:rPr>
                <w:rFonts w:ascii="Arial" w:cs="Arial" w:eastAsia="Arial" w:hAnsi="Arial"/>
                <w:sz w:val="16"/>
                <w:szCs w:val="16"/>
                <w:color w:val="auto"/>
              </w:rPr>
              <w:t>​​ Chair of the Board</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3"/>
          </w:tcPr>
          <w:p>
            <w:pPr>
              <w:ind w:left="20"/>
              <w:spacing w:after="0"/>
              <w:rPr>
                <w:sz w:val="20"/>
                <w:szCs w:val="20"/>
                <w:color w:val="auto"/>
              </w:rPr>
            </w:pPr>
            <w:r>
              <w:rPr>
                <w:rFonts w:ascii="Arial" w:cs="Arial" w:eastAsia="Arial" w:hAnsi="Arial"/>
                <w:sz w:val="16"/>
                <w:szCs w:val="16"/>
                <w:color w:val="auto"/>
              </w:rPr>
              <w:t>​​ Chair</w:t>
            </w:r>
          </w:p>
        </w:tc>
        <w:tc>
          <w:tcPr>
            <w:tcW w:w="22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6"/>
                <w:szCs w:val="16"/>
                <w:color w:val="auto"/>
              </w:rPr>
              <w:t>​​</w:t>
            </w:r>
          </w:p>
        </w:tc>
        <w:tc>
          <w:tcPr>
            <w:tcW w:w="740" w:type="dxa"/>
            <w:vAlign w:val="bottom"/>
            <w:gridSpan w:val="3"/>
          </w:tcPr>
          <w:p>
            <w:pPr>
              <w:spacing w:after="0"/>
              <w:rPr>
                <w:sz w:val="20"/>
                <w:szCs w:val="20"/>
                <w:color w:val="auto"/>
              </w:rPr>
            </w:pPr>
            <w:r>
              <w:rPr>
                <w:rFonts w:ascii="Arial" w:cs="Arial" w:eastAsia="Arial" w:hAnsi="Arial"/>
                <w:sz w:val="16"/>
                <w:szCs w:val="16"/>
                <w:color w:val="auto"/>
              </w:rPr>
              <w:t>​​ Member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-5964555</wp:posOffset>
            </wp:positionV>
            <wp:extent cx="4457700" cy="5974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57700" cy="597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80"/>
        <w:spacing w:after="0"/>
        <w:tabs>
          <w:tab w:leader="none" w:pos="5220" w:val="left"/>
          <w:tab w:leader="none" w:pos="846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3</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Questions and Answers About Our Annual Meeting</w:t>
      </w:r>
    </w:p>
    <w:p>
      <w:pPr>
        <w:spacing w:after="0" w:line="378" w:lineRule="exact"/>
        <w:rPr>
          <w:sz w:val="20"/>
          <w:szCs w:val="20"/>
          <w:color w:val="auto"/>
        </w:rPr>
      </w:pPr>
    </w:p>
    <w:p>
      <w:pPr>
        <w:ind w:left="680" w:right="1680"/>
        <w:spacing w:after="0" w:line="277" w:lineRule="auto"/>
        <w:rPr>
          <w:sz w:val="20"/>
          <w:szCs w:val="20"/>
          <w:color w:val="auto"/>
        </w:rPr>
      </w:pPr>
      <w:r>
        <w:rPr>
          <w:rFonts w:ascii="Arial" w:cs="Arial" w:eastAsia="Arial" w:hAnsi="Arial"/>
          <w:sz w:val="41"/>
          <w:szCs w:val="41"/>
          <w:b w:val="1"/>
          <w:bCs w:val="1"/>
          <w:color w:val="4CA87C"/>
        </w:rPr>
        <w:t>Questions and Answers About Our Annual Meeting</w:t>
      </w:r>
    </w:p>
    <w:tbl>
      <w:tblPr>
        <w:tblLayout w:type="fixed"/>
        <w:tblInd w:w="0" w:type="dxa"/>
        <w:tblCellMar>
          <w:top w:w="0" w:type="dxa"/>
          <w:left w:w="0" w:type="dxa"/>
          <w:bottom w:w="0" w:type="dxa"/>
          <w:right w:w="0" w:type="dxa"/>
        </w:tblCellMar>
      </w:tblPr>
      <w:tr>
        <w:trPr>
          <w:trHeight w:val="233"/>
        </w:trPr>
        <w:tc>
          <w:tcPr>
            <w:tcW w:w="660" w:type="dxa"/>
            <w:vAlign w:val="bottom"/>
          </w:tcPr>
          <w:p>
            <w:pPr>
              <w:spacing w:after="0"/>
              <w:rPr>
                <w:sz w:val="20"/>
                <w:szCs w:val="20"/>
                <w:color w:val="auto"/>
              </w:rPr>
            </w:pPr>
          </w:p>
        </w:tc>
        <w:tc>
          <w:tcPr>
            <w:tcW w:w="2200" w:type="dxa"/>
            <w:vAlign w:val="bottom"/>
          </w:tcPr>
          <w:p>
            <w:pPr>
              <w:ind w:left="20"/>
              <w:spacing w:after="0" w:line="233"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6"/>
                <w:szCs w:val="16"/>
                <w:b w:val="1"/>
                <w:bCs w:val="1"/>
                <w:color w:val="auto"/>
              </w:rPr>
              <w:t xml:space="preserve"> Why did I receive this</w:t>
            </w: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40" w:type="dxa"/>
            <w:vAlign w:val="bottom"/>
          </w:tcPr>
          <w:p>
            <w:pPr>
              <w:ind w:left="80"/>
              <w:spacing w:after="0"/>
              <w:rPr>
                <w:sz w:val="20"/>
                <w:szCs w:val="20"/>
                <w:color w:val="auto"/>
              </w:rPr>
            </w:pPr>
            <w:r>
              <w:rPr>
                <w:rFonts w:ascii="Arial" w:cs="Arial" w:eastAsia="Arial" w:hAnsi="Arial"/>
                <w:sz w:val="16"/>
                <w:szCs w:val="16"/>
                <w:color w:val="auto"/>
              </w:rPr>
              <w:t>We are making this Proxy Statement available to you on or about April 27, 2026 by delivering</w:t>
            </w:r>
          </w:p>
        </w:tc>
        <w:tc>
          <w:tcPr>
            <w:tcW w:w="76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Proxy Statement?</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printed versions to you by mail because our Board is soliciting your proxy to vote at our Annual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tcPr>
          <w:p>
            <w:pPr>
              <w:ind w:left="80"/>
              <w:spacing w:after="0" w:line="161" w:lineRule="exact"/>
              <w:rPr>
                <w:sz w:val="20"/>
                <w:szCs w:val="20"/>
                <w:color w:val="auto"/>
              </w:rPr>
            </w:pPr>
            <w:r>
              <w:rPr>
                <w:rFonts w:ascii="Arial" w:cs="Arial" w:eastAsia="Arial" w:hAnsi="Arial"/>
                <w:sz w:val="16"/>
                <w:szCs w:val="16"/>
                <w:color w:val="auto"/>
              </w:rPr>
              <w:t>General Meeting on June 2, 2026. This Proxy Statement contains information about the items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being voted on at the Annual General Meeting and important information about Keenova.</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This Proxy Statement and the following documents relating to the Annual General Meeting will</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 xml:space="preserve">also be available on the Investor Relations section of our website at </w:t>
            </w:r>
            <w:r>
              <w:rPr>
                <w:rFonts w:ascii="Arial" w:cs="Arial" w:eastAsia="Arial" w:hAnsi="Arial"/>
                <w:sz w:val="16"/>
                <w:szCs w:val="16"/>
                <w:i w:val="1"/>
                <w:iCs w:val="1"/>
                <w:color w:val="auto"/>
              </w:rPr>
              <w:t>investor.keenova.com</w:t>
            </w: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 Our Annual Report on Form 10-K for the fiscal year ended December 31, 2025; and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 Our Irish Statutory Accounts for the fiscal year ended December 31, 2025, and the reports of</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240"/>
              <w:spacing w:after="0"/>
              <w:rPr>
                <w:sz w:val="20"/>
                <w:szCs w:val="20"/>
                <w:color w:val="auto"/>
              </w:rPr>
            </w:pPr>
            <w:r>
              <w:rPr>
                <w:rFonts w:ascii="Arial" w:cs="Arial" w:eastAsia="Arial" w:hAnsi="Arial"/>
                <w:sz w:val="16"/>
                <w:szCs w:val="16"/>
                <w:color w:val="auto"/>
              </w:rPr>
              <w:t>the Directors and auditors thereon.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200" w:type="dxa"/>
            <w:vAlign w:val="bottom"/>
            <w:shd w:val="clear" w:color="auto" w:fill="E5E5E5"/>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How do I access the</w:t>
            </w:r>
          </w:p>
        </w:tc>
        <w:tc>
          <w:tcPr>
            <w:tcW w:w="140" w:type="dxa"/>
            <w:vAlign w:val="bottom"/>
            <w:tcBorders>
              <w:right w:val="single" w:sz="8" w:color="auto"/>
            </w:tcBorders>
            <w:shd w:val="clear" w:color="auto" w:fill="E5E5E5"/>
          </w:tcPr>
          <w:p>
            <w:pPr>
              <w:ind w:left="2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68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The instructions for accessing the proxy materials and voting can be found in the information</w:t>
            </w:r>
          </w:p>
        </w:tc>
        <w:tc>
          <w:tcPr>
            <w:tcW w:w="10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proxy materials and</w:t>
            </w:r>
          </w:p>
        </w:tc>
        <w:tc>
          <w:tcPr>
            <w:tcW w:w="14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you received either by mail or e-mail if you have consented to electronic delivery. If you would</w:t>
            </w:r>
          </w:p>
        </w:tc>
        <w:tc>
          <w:tcPr>
            <w:tcW w:w="10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vote my shares?</w:t>
            </w:r>
          </w:p>
        </w:tc>
        <w:tc>
          <w:tcPr>
            <w:tcW w:w="14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like to receive proxy materials electronically, you can consent to receiving all future proxy</w:t>
            </w:r>
          </w:p>
        </w:tc>
        <w:tc>
          <w:tcPr>
            <w:tcW w:w="10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2200" w:type="dxa"/>
            <w:vAlign w:val="bottom"/>
            <w:shd w:val="clear" w:color="auto" w:fill="E5E5E5"/>
          </w:tcPr>
          <w:p>
            <w:pPr>
              <w:spacing w:after="0"/>
              <w:rPr>
                <w:sz w:val="11"/>
                <w:szCs w:val="11"/>
                <w:color w:val="auto"/>
              </w:rPr>
            </w:pPr>
          </w:p>
        </w:tc>
        <w:tc>
          <w:tcPr>
            <w:tcW w:w="140" w:type="dxa"/>
            <w:vAlign w:val="bottom"/>
            <w:tcBorders>
              <w:right w:val="single" w:sz="8" w:color="auto"/>
            </w:tcBorders>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6840" w:type="dxa"/>
            <w:vAlign w:val="bottom"/>
            <w:shd w:val="clear" w:color="auto" w:fill="E5E5E5"/>
          </w:tcPr>
          <w:p>
            <w:pPr>
              <w:ind w:left="80"/>
              <w:spacing w:after="0" w:line="134" w:lineRule="exact"/>
              <w:rPr>
                <w:sz w:val="20"/>
                <w:szCs w:val="20"/>
                <w:color w:val="auto"/>
              </w:rPr>
            </w:pPr>
            <w:r>
              <w:rPr>
                <w:rFonts w:ascii="Arial" w:cs="Arial" w:eastAsia="Arial" w:hAnsi="Arial"/>
                <w:sz w:val="15"/>
                <w:szCs w:val="15"/>
                <w:color w:val="auto"/>
              </w:rPr>
              <w:t>materials via e-mail or the internet. To sign up for electronic delivery, please follow the</w:t>
            </w:r>
          </w:p>
        </w:tc>
        <w:tc>
          <w:tcPr>
            <w:tcW w:w="100" w:type="dxa"/>
            <w:vAlign w:val="bottom"/>
            <w:shd w:val="clear" w:color="auto" w:fill="E5E5E5"/>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instructions on your proxy card or voting instruction to vote using the internet and, when</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prompted, indicate that you agree to receive or access proxy materials electronically in the</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future. Your consent to electronic delivery of proxy materials will remain in effect until you</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revoke it. If you choose electronic delivery, you may incur costs, such as cable, telephone and</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internet access charges, for which you will be responsible.</w:t>
            </w:r>
          </w:p>
        </w:tc>
        <w:tc>
          <w:tcPr>
            <w:tcW w:w="10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2200" w:type="dxa"/>
            <w:vAlign w:val="bottom"/>
            <w:shd w:val="clear" w:color="auto" w:fill="E5E5E5"/>
          </w:tcPr>
          <w:p>
            <w:pPr>
              <w:spacing w:after="0"/>
              <w:rPr>
                <w:sz w:val="21"/>
                <w:szCs w:val="21"/>
                <w:color w:val="auto"/>
              </w:rPr>
            </w:pPr>
          </w:p>
        </w:tc>
        <w:tc>
          <w:tcPr>
            <w:tcW w:w="140" w:type="dxa"/>
            <w:vAlign w:val="bottom"/>
            <w:tcBorders>
              <w:right w:val="single" w:sz="8" w:color="auto"/>
            </w:tcBorders>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You may vote your shares by following the instructions provided on the proxy card or voting</w:t>
            </w:r>
          </w:p>
        </w:tc>
        <w:tc>
          <w:tcPr>
            <w:tcW w:w="100" w:type="dxa"/>
            <w:vAlign w:val="bottom"/>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instruction form. If you vote by internet or telephone, you will need the control number provided</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on the proxy card or voting instruction form. If you vote by mail, please complete, sign and date</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the proxy card or voting instruction form and mail it by following the instructions on the proxy</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2200" w:type="dxa"/>
            <w:vAlign w:val="bottom"/>
            <w:tcBorders>
              <w:bottom w:val="single" w:sz="8" w:color="E5E5E5"/>
            </w:tcBorders>
            <w:shd w:val="clear" w:color="auto" w:fill="E5E5E5"/>
          </w:tcPr>
          <w:p>
            <w:pPr>
              <w:spacing w:after="0"/>
              <w:rPr>
                <w:sz w:val="22"/>
                <w:szCs w:val="22"/>
                <w:color w:val="auto"/>
              </w:rPr>
            </w:pPr>
          </w:p>
        </w:tc>
        <w:tc>
          <w:tcPr>
            <w:tcW w:w="140" w:type="dxa"/>
            <w:vAlign w:val="bottom"/>
            <w:tcBorders>
              <w:bottom w:val="single" w:sz="8" w:color="E5E5E5"/>
              <w:right w:val="single" w:sz="8" w:color="auto"/>
            </w:tcBorders>
            <w:shd w:val="clear" w:color="auto" w:fill="E5E5E5"/>
          </w:tcPr>
          <w:p>
            <w:pPr>
              <w:spacing w:after="0"/>
              <w:rPr>
                <w:sz w:val="22"/>
                <w:szCs w:val="22"/>
                <w:color w:val="auto"/>
              </w:rPr>
            </w:pPr>
          </w:p>
        </w:tc>
        <w:tc>
          <w:tcPr>
            <w:tcW w:w="120" w:type="dxa"/>
            <w:vAlign w:val="bottom"/>
            <w:tcBorders>
              <w:bottom w:val="single" w:sz="8" w:color="E5E5E5"/>
            </w:tcBorders>
            <w:shd w:val="clear" w:color="auto" w:fill="E5E5E5"/>
          </w:tcPr>
          <w:p>
            <w:pPr>
              <w:spacing w:after="0"/>
              <w:rPr>
                <w:sz w:val="22"/>
                <w:szCs w:val="22"/>
                <w:color w:val="auto"/>
              </w:rPr>
            </w:pPr>
          </w:p>
        </w:tc>
        <w:tc>
          <w:tcPr>
            <w:tcW w:w="68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card or voting instruction form.</w:t>
            </w:r>
          </w:p>
        </w:tc>
        <w:tc>
          <w:tcPr>
            <w:tcW w:w="100" w:type="dxa"/>
            <w:vAlign w:val="bottom"/>
            <w:tcBorders>
              <w:bottom w:val="single" w:sz="8" w:color="E5E5E5"/>
            </w:tcBorders>
            <w:shd w:val="clear" w:color="auto" w:fill="E5E5E5"/>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20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Who may vote at the</w:t>
            </w:r>
          </w:p>
        </w:tc>
        <w:tc>
          <w:tcPr>
            <w:tcW w:w="140" w:type="dxa"/>
            <w:vAlign w:val="bottom"/>
            <w:tcBorders>
              <w:top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840" w:type="dxa"/>
            <w:vAlign w:val="bottom"/>
            <w:tcBorders>
              <w:top w:val="single" w:sz="8" w:color="auto"/>
            </w:tcBorders>
          </w:tcPr>
          <w:p>
            <w:pPr>
              <w:ind w:left="80"/>
              <w:spacing w:after="0" w:line="183" w:lineRule="exact"/>
              <w:rPr>
                <w:sz w:val="20"/>
                <w:szCs w:val="20"/>
                <w:color w:val="auto"/>
              </w:rPr>
            </w:pPr>
            <w:r>
              <w:rPr>
                <w:rFonts w:ascii="Arial" w:cs="Arial" w:eastAsia="Arial" w:hAnsi="Arial"/>
                <w:sz w:val="16"/>
                <w:szCs w:val="16"/>
                <w:color w:val="auto"/>
              </w:rPr>
              <w:t>If you owned our ordinary shares at the close of business on the record date, March 23, 2026,</w:t>
            </w:r>
          </w:p>
        </w:tc>
        <w:tc>
          <w:tcPr>
            <w:tcW w:w="1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w w:val="99"/>
              </w:rPr>
              <w:t>Annual General Meeting</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and your name appears in the Register of Members of Keenova maintained by our registrar,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and how many votes do</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Computershare, then you may vote at the Annual General Meeting by following the procedures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22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 have?</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40" w:type="dxa"/>
            <w:vAlign w:val="bottom"/>
          </w:tcPr>
          <w:p>
            <w:pPr>
              <w:ind w:left="80"/>
              <w:spacing w:after="0" w:line="134" w:lineRule="exact"/>
              <w:rPr>
                <w:sz w:val="20"/>
                <w:szCs w:val="20"/>
                <w:color w:val="auto"/>
              </w:rPr>
            </w:pPr>
            <w:r>
              <w:rPr>
                <w:rFonts w:ascii="Arial" w:cs="Arial" w:eastAsia="Arial" w:hAnsi="Arial"/>
                <w:sz w:val="15"/>
                <w:szCs w:val="15"/>
                <w:color w:val="auto"/>
              </w:rPr>
              <w:t>outlined in this Proxy Statement. At the close of business on the record date, we had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40" w:type="dxa"/>
            <w:vAlign w:val="bottom"/>
            <w:vMerge w:val="restart"/>
          </w:tcPr>
          <w:p>
            <w:pPr>
              <w:ind w:left="80"/>
              <w:spacing w:after="0"/>
              <w:rPr>
                <w:sz w:val="20"/>
                <w:szCs w:val="20"/>
                <w:color w:val="auto"/>
              </w:rPr>
            </w:pPr>
            <w:r>
              <w:rPr>
                <w:rFonts w:ascii="Arial" w:cs="Arial" w:eastAsia="Arial" w:hAnsi="Arial"/>
                <w:sz w:val="16"/>
                <w:szCs w:val="16"/>
                <w:color w:val="auto"/>
              </w:rPr>
              <w:t>39,581,987 ordinary shares outstanding and entitled to vote. Each ordinary share is entitled to</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one vote on each matter properly brought before the Annual General Meeting.</w:t>
            </w:r>
          </w:p>
        </w:tc>
        <w:tc>
          <w:tcPr>
            <w:tcW w:w="1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2340" w:type="dxa"/>
            <w:vAlign w:val="bottom"/>
            <w:tcBorders>
              <w:right w:val="single" w:sz="8" w:color="auto"/>
            </w:tcBorders>
            <w:gridSpan w:val="2"/>
            <w:shd w:val="clear" w:color="auto" w:fill="E5E5E5"/>
          </w:tcPr>
          <w:p>
            <w:pPr>
              <w:ind w:left="20"/>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5"/>
                <w:szCs w:val="15"/>
                <w:b w:val="1"/>
                <w:bCs w:val="1"/>
                <w:color w:val="auto"/>
              </w:rPr>
              <w:t xml:space="preserve"> May I vote my shares in </w:t>
            </w:r>
            <w:r>
              <w:rPr>
                <w:rFonts w:ascii="Arial" w:cs="Arial" w:eastAsia="Arial" w:hAnsi="Arial"/>
                <w:sz w:val="24"/>
                <w:szCs w:val="24"/>
                <w:color w:val="auto"/>
                <w:vertAlign w:val="superscript"/>
              </w:rPr>
              <w:t>​</w:t>
            </w:r>
          </w:p>
        </w:tc>
        <w:tc>
          <w:tcPr>
            <w:tcW w:w="12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Yes, you may vote your shares in person at the Annual General Meeting as follows:</w:t>
            </w:r>
          </w:p>
        </w:tc>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person at the Annual</w:t>
            </w:r>
          </w:p>
        </w:tc>
        <w:tc>
          <w:tcPr>
            <w:tcW w:w="14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40" w:type="dxa"/>
            <w:vAlign w:val="bottom"/>
            <w:vMerge w:val="restart"/>
            <w:shd w:val="clear" w:color="auto" w:fill="E5E5E5"/>
          </w:tcPr>
          <w:p>
            <w:pPr>
              <w:ind w:left="80"/>
              <w:spacing w:after="0"/>
              <w:rPr>
                <w:sz w:val="20"/>
                <w:szCs w:val="20"/>
                <w:color w:val="auto"/>
              </w:rPr>
            </w:pPr>
            <w:r>
              <w:rPr>
                <w:rFonts w:ascii="Arial" w:cs="Arial" w:eastAsia="Arial" w:hAnsi="Arial"/>
                <w:sz w:val="16"/>
                <w:szCs w:val="16"/>
                <w:color w:val="auto"/>
              </w:rPr>
              <w:t>If you are a shareholder of record and you wish to vote in person at the Annual General</w:t>
            </w:r>
          </w:p>
        </w:tc>
        <w:tc>
          <w:tcPr>
            <w:tcW w:w="10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2200" w:type="dxa"/>
            <w:vAlign w:val="bottom"/>
            <w:vMerge w:val="restart"/>
            <w:shd w:val="clear" w:color="auto" w:fill="E5E5E5"/>
          </w:tcPr>
          <w:p>
            <w:pPr>
              <w:ind w:left="120"/>
              <w:spacing w:after="0"/>
              <w:rPr>
                <w:sz w:val="20"/>
                <w:szCs w:val="20"/>
                <w:color w:val="auto"/>
              </w:rPr>
            </w:pPr>
            <w:r>
              <w:rPr>
                <w:rFonts w:ascii="Arial" w:cs="Arial" w:eastAsia="Arial" w:hAnsi="Arial"/>
                <w:sz w:val="18"/>
                <w:szCs w:val="18"/>
                <w:b w:val="1"/>
                <w:bCs w:val="1"/>
                <w:color w:val="auto"/>
              </w:rPr>
              <w:t>General Meeting?</w:t>
            </w:r>
          </w:p>
        </w:tc>
        <w:tc>
          <w:tcPr>
            <w:tcW w:w="140" w:type="dxa"/>
            <w:vAlign w:val="bottom"/>
            <w:tcBorders>
              <w:right w:val="single" w:sz="8" w:color="auto"/>
            </w:tcBorders>
            <w:shd w:val="clear" w:color="auto" w:fill="E5E5E5"/>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6840" w:type="dxa"/>
            <w:vAlign w:val="bottom"/>
            <w:vMerge w:val="continue"/>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0" w:type="dxa"/>
            <w:vAlign w:val="bottom"/>
            <w:vMerge w:val="continue"/>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Meeting, you may do so. If you do not wish to attend yourself, you may also appoint a proxy or</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proxies to attend, speak and vote in your place. A proxy does not need to be one of our</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shareholders.</w:t>
            </w:r>
          </w:p>
        </w:tc>
        <w:tc>
          <w:tcPr>
            <w:tcW w:w="10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2200" w:type="dxa"/>
            <w:vAlign w:val="bottom"/>
            <w:shd w:val="clear" w:color="auto" w:fill="E5E5E5"/>
          </w:tcPr>
          <w:p>
            <w:pPr>
              <w:spacing w:after="0"/>
              <w:rPr>
                <w:sz w:val="20"/>
                <w:szCs w:val="20"/>
                <w:color w:val="auto"/>
              </w:rPr>
            </w:pPr>
          </w:p>
        </w:tc>
        <w:tc>
          <w:tcPr>
            <w:tcW w:w="140" w:type="dxa"/>
            <w:vAlign w:val="bottom"/>
            <w:tcBorders>
              <w:right w:val="single" w:sz="8" w:color="auto"/>
            </w:tcBorders>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You are not precluded from attending, speaking or voting at the Annual General Meeting, even if</w:t>
            </w:r>
          </w:p>
        </w:tc>
        <w:tc>
          <w:tcPr>
            <w:tcW w:w="100" w:type="dxa"/>
            <w:vAlign w:val="bottom"/>
            <w:shd w:val="clear" w:color="auto" w:fill="E5E5E5"/>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you have completed a proxy form or submitted a voting instruction form prior the meeting. To</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appoint a person other than the individuals specified on our proxy card, please contact our</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Corporate Secretary at our registered office, and also note that your appointed proxy must</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attend the Annual General Meeting in person in order for your votes to be cast.</w:t>
            </w:r>
          </w:p>
        </w:tc>
        <w:tc>
          <w:tcPr>
            <w:tcW w:w="10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2200" w:type="dxa"/>
            <w:vAlign w:val="bottom"/>
            <w:shd w:val="clear" w:color="auto" w:fill="E5E5E5"/>
          </w:tcPr>
          <w:p>
            <w:pPr>
              <w:spacing w:after="0"/>
              <w:rPr>
                <w:sz w:val="20"/>
                <w:szCs w:val="20"/>
                <w:color w:val="auto"/>
              </w:rPr>
            </w:pPr>
          </w:p>
        </w:tc>
        <w:tc>
          <w:tcPr>
            <w:tcW w:w="140" w:type="dxa"/>
            <w:vAlign w:val="bottom"/>
            <w:tcBorders>
              <w:right w:val="single" w:sz="8" w:color="auto"/>
            </w:tcBorders>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If you are a beneficial owner of shares held in “street name” and you wish to vote in person at</w:t>
            </w:r>
          </w:p>
        </w:tc>
        <w:tc>
          <w:tcPr>
            <w:tcW w:w="100" w:type="dxa"/>
            <w:vAlign w:val="bottom"/>
            <w:shd w:val="clear" w:color="auto" w:fill="E5E5E5"/>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the Annual General Meeting, you must obtain a legal proxy from the bank, brokerage firm or</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other similar organization that holds your shares. You will need to bring the legal proxy with you</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to the meeting and hand it in with a signed ballot that you can request at the meeting. You will</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not be able to vote your shares at the Annual General Meeting without a legal proxy and a</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signed ballot. For more information on shares held in “street name” see the question below</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20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entitled “What is the difference between holding shares as a shareholder of record and as a</w:t>
            </w: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beneficial owner of shares held in ‘street name’?”</w:t>
            </w:r>
          </w:p>
        </w:tc>
        <w:tc>
          <w:tcPr>
            <w:tcW w:w="10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2200" w:type="dxa"/>
            <w:vAlign w:val="bottom"/>
            <w:shd w:val="clear" w:color="auto" w:fill="E5E5E5"/>
          </w:tcPr>
          <w:p>
            <w:pPr>
              <w:spacing w:after="0"/>
              <w:rPr>
                <w:sz w:val="20"/>
                <w:szCs w:val="20"/>
                <w:color w:val="auto"/>
              </w:rPr>
            </w:pPr>
          </w:p>
        </w:tc>
        <w:tc>
          <w:tcPr>
            <w:tcW w:w="140" w:type="dxa"/>
            <w:vAlign w:val="bottom"/>
            <w:tcBorders>
              <w:right w:val="single" w:sz="8" w:color="auto"/>
            </w:tcBorders>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You do not need to attend the Annual General Meeting to vote your shares and even if you plan</w:t>
            </w:r>
          </w:p>
        </w:tc>
        <w:tc>
          <w:tcPr>
            <w:tcW w:w="100" w:type="dxa"/>
            <w:vAlign w:val="bottom"/>
            <w:shd w:val="clear" w:color="auto" w:fill="E5E5E5"/>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to attend the Annual General Meeting, we recommend that you also vote by proxy as described</w:t>
            </w:r>
          </w:p>
        </w:tc>
        <w:tc>
          <w:tcPr>
            <w:tcW w:w="10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2200" w:type="dxa"/>
            <w:vAlign w:val="bottom"/>
            <w:tcBorders>
              <w:bottom w:val="single" w:sz="8" w:color="E5E5E5"/>
            </w:tcBorders>
            <w:shd w:val="clear" w:color="auto" w:fill="E5E5E5"/>
          </w:tcPr>
          <w:p>
            <w:pPr>
              <w:spacing w:after="0"/>
              <w:rPr>
                <w:sz w:val="22"/>
                <w:szCs w:val="22"/>
                <w:color w:val="auto"/>
              </w:rPr>
            </w:pPr>
          </w:p>
        </w:tc>
        <w:tc>
          <w:tcPr>
            <w:tcW w:w="140" w:type="dxa"/>
            <w:vAlign w:val="bottom"/>
            <w:tcBorders>
              <w:bottom w:val="single" w:sz="8" w:color="E5E5E5"/>
              <w:right w:val="single" w:sz="8" w:color="auto"/>
            </w:tcBorders>
            <w:shd w:val="clear" w:color="auto" w:fill="E5E5E5"/>
          </w:tcPr>
          <w:p>
            <w:pPr>
              <w:spacing w:after="0"/>
              <w:rPr>
                <w:sz w:val="22"/>
                <w:szCs w:val="22"/>
                <w:color w:val="auto"/>
              </w:rPr>
            </w:pPr>
          </w:p>
        </w:tc>
        <w:tc>
          <w:tcPr>
            <w:tcW w:w="120" w:type="dxa"/>
            <w:vAlign w:val="bottom"/>
            <w:tcBorders>
              <w:bottom w:val="single" w:sz="8" w:color="E5E5E5"/>
            </w:tcBorders>
            <w:shd w:val="clear" w:color="auto" w:fill="E5E5E5"/>
          </w:tcPr>
          <w:p>
            <w:pPr>
              <w:spacing w:after="0"/>
              <w:rPr>
                <w:sz w:val="22"/>
                <w:szCs w:val="22"/>
                <w:color w:val="auto"/>
              </w:rPr>
            </w:pPr>
          </w:p>
        </w:tc>
        <w:tc>
          <w:tcPr>
            <w:tcW w:w="68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above so that your vote will be counted if you later decide not to attend the meeting.</w:t>
            </w:r>
          </w:p>
        </w:tc>
        <w:tc>
          <w:tcPr>
            <w:tcW w:w="100" w:type="dxa"/>
            <w:vAlign w:val="bottom"/>
            <w:tcBorders>
              <w:bottom w:val="single" w:sz="8" w:color="E5E5E5"/>
            </w:tcBorders>
            <w:shd w:val="clear" w:color="auto" w:fill="E5E5E5"/>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2"/>
        </w:trPr>
        <w:tc>
          <w:tcPr>
            <w:tcW w:w="660" w:type="dxa"/>
            <w:vAlign w:val="bottom"/>
          </w:tcPr>
          <w:p>
            <w:pPr>
              <w:spacing w:after="0"/>
              <w:rPr>
                <w:sz w:val="24"/>
                <w:szCs w:val="24"/>
                <w:color w:val="auto"/>
              </w:rPr>
            </w:pPr>
          </w:p>
        </w:tc>
        <w:tc>
          <w:tcPr>
            <w:tcW w:w="22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323232"/>
              </w:rPr>
              <w:t>​4  |  2026 Proxy Statement</w:t>
            </w: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40" w:type="dxa"/>
            <w:vAlign w:val="bottom"/>
            <w:tcBorders>
              <w:top w:val="single" w:sz="8" w:color="auto"/>
            </w:tcBorders>
          </w:tcPr>
          <w:p>
            <w:pPr>
              <w:ind w:left="2160"/>
              <w:spacing w:after="0"/>
              <w:rPr>
                <w:sz w:val="20"/>
                <w:szCs w:val="20"/>
                <w:color w:val="auto"/>
              </w:rPr>
            </w:pPr>
            <w:r>
              <w:rPr>
                <w:rFonts w:ascii="Arial" w:cs="Arial" w:eastAsia="Arial" w:hAnsi="Arial"/>
                <w:sz w:val="13"/>
                <w:szCs w:val="13"/>
                <w:color w:val="323232"/>
              </w:rPr>
              <w:t>​ ​</w:t>
            </w:r>
          </w:p>
        </w:tc>
        <w:tc>
          <w:tcPr>
            <w:tcW w:w="100" w:type="dxa"/>
            <w:vAlign w:val="bottom"/>
            <w:tcBorders>
              <w:top w:val="single" w:sz="8" w:color="auto"/>
            </w:tcBorders>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323232"/>
              </w:rPr>
              <w:t>​</w:t>
            </w:r>
          </w:p>
        </w:tc>
        <w:tc>
          <w:tcPr>
            <w:tcW w:w="0" w:type="dxa"/>
            <w:vAlign w:val="bottom"/>
          </w:tcPr>
          <w:p>
            <w:pPr>
              <w:spacing w:after="0"/>
              <w:rPr>
                <w:sz w:val="1"/>
                <w:szCs w:val="1"/>
                <w:color w:val="auto"/>
              </w:rPr>
            </w:pPr>
          </w:p>
        </w:tc>
      </w:tr>
      <w:tr>
        <w:trPr>
          <w:trHeight w:val="410"/>
        </w:trPr>
        <w:tc>
          <w:tcPr>
            <w:tcW w:w="6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-334010</wp:posOffset>
            </wp:positionV>
            <wp:extent cx="44577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7020"/>
        <w:spacing w:after="0"/>
        <w:rPr>
          <w:sz w:val="20"/>
          <w:szCs w:val="20"/>
          <w:color w:val="auto"/>
        </w:rPr>
      </w:pPr>
      <w:r>
        <w:rPr>
          <w:rFonts w:ascii="Arial" w:cs="Arial" w:eastAsia="Arial" w:hAnsi="Arial"/>
          <w:sz w:val="13"/>
          <w:szCs w:val="13"/>
          <w:color w:val="323232"/>
        </w:rPr>
        <w:t>Questions and Answers About Our Annual Meeting</w:t>
      </w: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368"/>
        </w:trPr>
        <w:tc>
          <w:tcPr>
            <w:tcW w:w="2340" w:type="dxa"/>
            <w:vAlign w:val="bottom"/>
            <w:tcBorders>
              <w:right w:val="single" w:sz="8" w:color="auto"/>
            </w:tcBorders>
            <w:gridSpan w:val="2"/>
          </w:tcPr>
          <w:p>
            <w:pPr>
              <w:ind w:left="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8"/>
                <w:szCs w:val="18"/>
                <w:b w:val="1"/>
                <w:bCs w:val="1"/>
                <w:color w:val="auto"/>
              </w:rPr>
              <w:t xml:space="preserve"> What is the deadline for </w:t>
            </w:r>
            <w:r>
              <w:rPr>
                <w:rFonts w:ascii="Arial" w:cs="Arial" w:eastAsia="Arial" w:hAnsi="Arial"/>
                <w:sz w:val="32"/>
                <w:szCs w:val="32"/>
                <w:color w:val="auto"/>
                <w:vertAlign w:val="superscript"/>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40" w:type="dxa"/>
            <w:vAlign w:val="bottom"/>
          </w:tcPr>
          <w:p>
            <w:pPr>
              <w:ind w:left="80"/>
              <w:spacing w:after="0"/>
              <w:rPr>
                <w:sz w:val="20"/>
                <w:szCs w:val="20"/>
                <w:color w:val="auto"/>
              </w:rPr>
            </w:pPr>
            <w:r>
              <w:rPr>
                <w:rFonts w:ascii="Arial" w:cs="Arial" w:eastAsia="Arial" w:hAnsi="Arial"/>
                <w:sz w:val="16"/>
                <w:szCs w:val="16"/>
                <w:color w:val="auto"/>
              </w:rPr>
              <w:t>If you are a shareholder of record, you may vote by internet or by telephone until 11:59 p.m.,</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2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voting my shares if I do</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U.S. Eastern Time, on June 1, 2026, or by mail by returning a signed instrument of proxy (or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120"/>
              <w:spacing w:after="0" w:line="189" w:lineRule="exact"/>
              <w:rPr>
                <w:sz w:val="20"/>
                <w:szCs w:val="20"/>
                <w:color w:val="auto"/>
              </w:rPr>
            </w:pPr>
            <w:r>
              <w:rPr>
                <w:rFonts w:ascii="Arial" w:cs="Arial" w:eastAsia="Arial" w:hAnsi="Arial"/>
                <w:sz w:val="18"/>
                <w:szCs w:val="18"/>
                <w:b w:val="1"/>
                <w:bCs w:val="1"/>
                <w:color w:val="auto"/>
                <w:w w:val="99"/>
              </w:rPr>
              <w:t>not vote in person at the</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proxy card) to Keenova Therapeutics plc, c/o Broadridge, 51 Mercedes Way, Edgewood, NY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20" w:type="dxa"/>
            <w:vAlign w:val="bottom"/>
          </w:tcPr>
          <w:p>
            <w:pPr>
              <w:ind w:left="120"/>
              <w:spacing w:after="0" w:line="164" w:lineRule="exact"/>
              <w:rPr>
                <w:sz w:val="20"/>
                <w:szCs w:val="20"/>
                <w:color w:val="auto"/>
              </w:rPr>
            </w:pPr>
            <w:r>
              <w:rPr>
                <w:rFonts w:ascii="Arial" w:cs="Arial" w:eastAsia="Arial" w:hAnsi="Arial"/>
                <w:sz w:val="18"/>
                <w:szCs w:val="18"/>
                <w:b w:val="1"/>
                <w:bCs w:val="1"/>
                <w:color w:val="auto"/>
              </w:rPr>
              <w:t>Annual General</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tcPr>
          <w:p>
            <w:pPr>
              <w:ind w:left="80"/>
              <w:spacing w:after="0" w:line="164" w:lineRule="exact"/>
              <w:rPr>
                <w:sz w:val="20"/>
                <w:szCs w:val="20"/>
                <w:color w:val="auto"/>
              </w:rPr>
            </w:pPr>
            <w:r>
              <w:rPr>
                <w:rFonts w:ascii="Arial" w:cs="Arial" w:eastAsia="Arial" w:hAnsi="Arial"/>
                <w:sz w:val="16"/>
                <w:szCs w:val="16"/>
                <w:color w:val="auto"/>
                <w:w w:val="99"/>
              </w:rPr>
              <w:t>11717 (which Broadridge will arrange to forward to Keenova’s registered office electronically) 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Meeting?</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40" w:type="dxa"/>
            <w:vAlign w:val="bottom"/>
          </w:tcPr>
          <w:p>
            <w:pPr>
              <w:ind w:left="80"/>
              <w:spacing w:after="0" w:line="160" w:lineRule="exact"/>
              <w:rPr>
                <w:sz w:val="20"/>
                <w:szCs w:val="20"/>
                <w:color w:val="auto"/>
              </w:rPr>
            </w:pPr>
            <w:r>
              <w:rPr>
                <w:rFonts w:ascii="Arial" w:cs="Arial" w:eastAsia="Arial" w:hAnsi="Arial"/>
                <w:sz w:val="16"/>
                <w:szCs w:val="16"/>
                <w:color w:val="auto"/>
              </w:rPr>
              <w:t>with Keenova at its registered office to the attention Corporate Secretary by 11:59 p.m., 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40" w:type="dxa"/>
            <w:vAlign w:val="bottom"/>
            <w:vMerge w:val="restart"/>
          </w:tcPr>
          <w:p>
            <w:pPr>
              <w:ind w:left="80"/>
              <w:spacing w:after="0"/>
              <w:rPr>
                <w:sz w:val="20"/>
                <w:szCs w:val="20"/>
                <w:color w:val="auto"/>
              </w:rPr>
            </w:pPr>
            <w:r>
              <w:rPr>
                <w:rFonts w:ascii="Arial" w:cs="Arial" w:eastAsia="Arial" w:hAnsi="Arial"/>
                <w:sz w:val="16"/>
                <w:szCs w:val="16"/>
                <w:color w:val="auto"/>
              </w:rPr>
              <w:t>Eastern Time, on June 1, 2026.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2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If you are a beneficial owner of shares, please follow the voting instructions provided by your</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bank, brokerage firm or other similar organization.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2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E5E5E5"/>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What is the difference</w:t>
            </w:r>
          </w:p>
        </w:tc>
        <w:tc>
          <w:tcPr>
            <w:tcW w:w="120" w:type="dxa"/>
            <w:vAlign w:val="bottom"/>
            <w:tcBorders>
              <w:right w:val="single" w:sz="8" w:color="auto"/>
            </w:tcBorders>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68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 hold ordinary shares and your name appears in the Register of</w:t>
            </w:r>
          </w:p>
        </w:tc>
        <w:tc>
          <w:tcPr>
            <w:tcW w:w="10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220" w:type="dxa"/>
            <w:vAlign w:val="bottom"/>
            <w:shd w:val="clear" w:color="auto" w:fill="E5E5E5"/>
          </w:tcPr>
          <w:p>
            <w:pPr>
              <w:ind w:left="120"/>
              <w:spacing w:after="0"/>
              <w:rPr>
                <w:sz w:val="20"/>
                <w:szCs w:val="20"/>
                <w:color w:val="auto"/>
              </w:rPr>
            </w:pPr>
            <w:r>
              <w:rPr>
                <w:rFonts w:ascii="Arial" w:cs="Arial" w:eastAsia="Arial" w:hAnsi="Arial"/>
                <w:sz w:val="18"/>
                <w:szCs w:val="18"/>
                <w:b w:val="1"/>
                <w:bCs w:val="1"/>
                <w:color w:val="auto"/>
              </w:rPr>
              <w:t>between holding shares</w:t>
            </w:r>
          </w:p>
        </w:tc>
        <w:tc>
          <w:tcPr>
            <w:tcW w:w="12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Members of Keenova, you are considered the shareholder of record of those shares.</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E5E5E5"/>
          </w:tcPr>
          <w:p>
            <w:pPr>
              <w:ind w:left="120"/>
              <w:spacing w:after="0"/>
              <w:rPr>
                <w:sz w:val="20"/>
                <w:szCs w:val="20"/>
                <w:color w:val="auto"/>
              </w:rPr>
            </w:pPr>
            <w:r>
              <w:rPr>
                <w:rFonts w:ascii="Arial" w:cs="Arial" w:eastAsia="Arial" w:hAnsi="Arial"/>
                <w:sz w:val="18"/>
                <w:szCs w:val="18"/>
                <w:b w:val="1"/>
                <w:bCs w:val="1"/>
                <w:color w:val="auto"/>
              </w:rPr>
              <w:t>as a shareholder of</w:t>
            </w:r>
          </w:p>
        </w:tc>
        <w:tc>
          <w:tcPr>
            <w:tcW w:w="120" w:type="dxa"/>
            <w:vAlign w:val="bottom"/>
            <w:tcBorders>
              <w:right w:val="single" w:sz="8" w:color="auto"/>
            </w:tcBorders>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 ordinary shares are held in an</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record and as a</w:t>
            </w: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account at a bank, brokerage firm or other similar organization, then you are considered the</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E5E5E5"/>
          </w:tcPr>
          <w:p>
            <w:pPr>
              <w:ind w:left="120"/>
              <w:spacing w:after="0" w:line="183" w:lineRule="exact"/>
              <w:rPr>
                <w:sz w:val="20"/>
                <w:szCs w:val="20"/>
                <w:color w:val="auto"/>
              </w:rPr>
            </w:pPr>
            <w:r>
              <w:rPr>
                <w:rFonts w:ascii="Arial" w:cs="Arial" w:eastAsia="Arial" w:hAnsi="Arial"/>
                <w:sz w:val="18"/>
                <w:szCs w:val="18"/>
                <w:b w:val="1"/>
                <w:bCs w:val="1"/>
                <w:color w:val="auto"/>
              </w:rPr>
              <w:t>beneficial owner of</w:t>
            </w: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beneficial owner of shares held in “street name.” As a beneficial owner, you have the right to</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E5E5E5"/>
          </w:tcPr>
          <w:p>
            <w:pPr>
              <w:ind w:left="120"/>
              <w:spacing w:after="0" w:line="194" w:lineRule="exact"/>
              <w:rPr>
                <w:sz w:val="20"/>
                <w:szCs w:val="20"/>
                <w:color w:val="auto"/>
              </w:rPr>
            </w:pPr>
            <w:r>
              <w:rPr>
                <w:rFonts w:ascii="Arial" w:cs="Arial" w:eastAsia="Arial" w:hAnsi="Arial"/>
                <w:sz w:val="18"/>
                <w:szCs w:val="18"/>
                <w:b w:val="1"/>
                <w:bCs w:val="1"/>
                <w:color w:val="auto"/>
              </w:rPr>
              <w:t>shares held in “street</w:t>
            </w: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direct your bank, brokerage firm or other similar organization how to vote the shares held in</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22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E5E5E5"/>
              <w:right w:val="single" w:sz="8" w:color="auto"/>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c>
          <w:tcPr>
            <w:tcW w:w="68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your account.</w:t>
            </w:r>
          </w:p>
        </w:tc>
        <w:tc>
          <w:tcPr>
            <w:tcW w:w="100" w:type="dxa"/>
            <w:vAlign w:val="bottom"/>
            <w:tcBorders>
              <w:bottom w:val="single" w:sz="8" w:color="E5E5E5"/>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2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Can I change or revoke</w:t>
            </w:r>
          </w:p>
        </w:tc>
        <w:tc>
          <w:tcPr>
            <w:tcW w:w="120" w:type="dxa"/>
            <w:vAlign w:val="bottom"/>
            <w:tcBorders>
              <w:top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840" w:type="dxa"/>
            <w:vAlign w:val="bottom"/>
            <w:tcBorders>
              <w:top w:val="single" w:sz="8" w:color="auto"/>
            </w:tcBorders>
          </w:tcPr>
          <w:p>
            <w:pPr>
              <w:ind w:left="80"/>
              <w:spacing w:after="0" w:line="183" w:lineRule="exact"/>
              <w:rPr>
                <w:sz w:val="20"/>
                <w:szCs w:val="20"/>
                <w:color w:val="auto"/>
              </w:rPr>
            </w:pPr>
            <w:r>
              <w:rPr>
                <w:rFonts w:ascii="Arial" w:cs="Arial" w:eastAsia="Arial" w:hAnsi="Arial"/>
                <w:sz w:val="16"/>
                <w:szCs w:val="16"/>
                <w:color w:val="auto"/>
              </w:rPr>
              <w:t>Yes. You have the right to change or revoke your proxy before it is voted at the Annual General</w:t>
            </w:r>
          </w:p>
        </w:tc>
        <w:tc>
          <w:tcPr>
            <w:tcW w:w="1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my vote after I have</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Meeting. You may change your vote by voting again on a later date by internet or by telephone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submitted my proxy?</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or by signing and returning a new proxy card with a later date, within the voting deadlines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described above. Only your latest proxy submitted prior to the meeting will be counted.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Your attendance at the Annual General Meeting will not automatically revoke a previously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submitted proxy unless you actually vote in person at the meeting or file a written instrument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tcPr>
          <w:p>
            <w:pPr>
              <w:ind w:left="80"/>
              <w:spacing w:after="0" w:line="175" w:lineRule="exact"/>
              <w:rPr>
                <w:sz w:val="20"/>
                <w:szCs w:val="20"/>
                <w:color w:val="auto"/>
              </w:rPr>
            </w:pPr>
            <w:r>
              <w:rPr>
                <w:rFonts w:ascii="Arial" w:cs="Arial" w:eastAsia="Arial" w:hAnsi="Arial"/>
                <w:sz w:val="16"/>
                <w:szCs w:val="16"/>
                <w:color w:val="auto"/>
                <w:w w:val="99"/>
              </w:rPr>
              <w:t>with our Corporate Secretary prior to the start of the meeting requesting that your prior proxy be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revoked.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2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If your ordinary shares are held in an account at a bank, brokerage firm or other similar</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tcPr>
          <w:p>
            <w:pPr>
              <w:ind w:left="80"/>
              <w:spacing w:after="0" w:line="175" w:lineRule="exact"/>
              <w:rPr>
                <w:sz w:val="20"/>
                <w:szCs w:val="20"/>
                <w:color w:val="auto"/>
              </w:rPr>
            </w:pPr>
            <w:r>
              <w:rPr>
                <w:rFonts w:ascii="Arial" w:cs="Arial" w:eastAsia="Arial" w:hAnsi="Arial"/>
                <w:sz w:val="16"/>
                <w:szCs w:val="16"/>
                <w:color w:val="auto"/>
              </w:rPr>
              <w:t>organization, you should follow the instructions provided by such organization to change 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revoke your vote.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340" w:type="dxa"/>
            <w:vAlign w:val="bottom"/>
            <w:tcBorders>
              <w:bottom w:val="single" w:sz="8" w:color="auto"/>
              <w:right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340" w:type="dxa"/>
            <w:vAlign w:val="bottom"/>
            <w:tcBorders>
              <w:right w:val="single" w:sz="8" w:color="auto"/>
            </w:tcBorders>
            <w:gridSpan w:val="2"/>
            <w:shd w:val="clear" w:color="auto" w:fill="E5E5E5"/>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What happens if I do not </w:t>
            </w:r>
            <w:r>
              <w:rPr>
                <w:rFonts w:ascii="Arial" w:cs="Arial" w:eastAsia="Arial" w:hAnsi="Arial"/>
                <w:sz w:val="21"/>
                <w:szCs w:val="21"/>
                <w:color w:val="auto"/>
                <w:vertAlign w:val="superscript"/>
              </w:rPr>
              <w:t>​</w:t>
            </w:r>
          </w:p>
        </w:tc>
        <w:tc>
          <w:tcPr>
            <w:tcW w:w="12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68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i w:val="1"/>
                <w:iCs w:val="1"/>
                <w:color w:val="auto"/>
              </w:rPr>
              <w:t>Shareholders of Record</w:t>
            </w:r>
            <w:r>
              <w:rPr>
                <w:rFonts w:ascii="Arial" w:cs="Arial" w:eastAsia="Arial" w:hAnsi="Arial"/>
                <w:sz w:val="16"/>
                <w:szCs w:val="16"/>
                <w:color w:val="auto"/>
              </w:rPr>
              <w:t>. If you are a shareholder of record as of the record date and you</w:t>
            </w:r>
          </w:p>
        </w:tc>
        <w:tc>
          <w:tcPr>
            <w:tcW w:w="10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give specific voting</w:t>
            </w:r>
          </w:p>
        </w:tc>
        <w:tc>
          <w:tcPr>
            <w:tcW w:w="12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indicate when voting by internet or by telephone that you wish to vote as recommended by our</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instructions when I</w:t>
            </w: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Board, or sign and return a proxy card without giving specific voting instructions, then the</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deliver my proxy?</w:t>
            </w:r>
          </w:p>
        </w:tc>
        <w:tc>
          <w:tcPr>
            <w:tcW w:w="12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Company-designated proxy holders will vote your shares in the manner recommended by our</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220" w:type="dxa"/>
            <w:vAlign w:val="bottom"/>
            <w:shd w:val="clear" w:color="auto" w:fill="E5E5E5"/>
          </w:tcPr>
          <w:p>
            <w:pPr>
              <w:spacing w:after="0"/>
              <w:rPr>
                <w:sz w:val="10"/>
                <w:szCs w:val="10"/>
                <w:color w:val="auto"/>
              </w:rPr>
            </w:pPr>
          </w:p>
        </w:tc>
        <w:tc>
          <w:tcPr>
            <w:tcW w:w="120" w:type="dxa"/>
            <w:vAlign w:val="bottom"/>
            <w:tcBorders>
              <w:right w:val="single" w:sz="8" w:color="auto"/>
            </w:tcBorders>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840" w:type="dxa"/>
            <w:vAlign w:val="bottom"/>
            <w:shd w:val="clear" w:color="auto" w:fill="E5E5E5"/>
          </w:tcPr>
          <w:p>
            <w:pPr>
              <w:ind w:left="80"/>
              <w:spacing w:after="0" w:line="121" w:lineRule="exact"/>
              <w:rPr>
                <w:sz w:val="20"/>
                <w:szCs w:val="20"/>
                <w:color w:val="auto"/>
              </w:rPr>
            </w:pPr>
            <w:r>
              <w:rPr>
                <w:rFonts w:ascii="Arial" w:cs="Arial" w:eastAsia="Arial" w:hAnsi="Arial"/>
                <w:sz w:val="14"/>
                <w:szCs w:val="14"/>
                <w:color w:val="auto"/>
              </w:rPr>
              <w:t>Board on all matters presented in this Proxy Statement and as the proxy holders may determine</w:t>
            </w:r>
          </w:p>
        </w:tc>
        <w:tc>
          <w:tcPr>
            <w:tcW w:w="10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22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in their discretion regarding any other matters properly presented for a vote at the meeting.</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220" w:type="dxa"/>
            <w:vAlign w:val="bottom"/>
            <w:shd w:val="clear" w:color="auto" w:fill="E5E5E5"/>
          </w:tcPr>
          <w:p>
            <w:pPr>
              <w:spacing w:after="0"/>
              <w:rPr>
                <w:sz w:val="22"/>
                <w:szCs w:val="22"/>
                <w:color w:val="auto"/>
              </w:rPr>
            </w:pPr>
          </w:p>
        </w:tc>
        <w:tc>
          <w:tcPr>
            <w:tcW w:w="120" w:type="dxa"/>
            <w:vAlign w:val="bottom"/>
            <w:tcBorders>
              <w:right w:val="single" w:sz="8" w:color="auto"/>
            </w:tcBorders>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i w:val="1"/>
                <w:iCs w:val="1"/>
                <w:color w:val="auto"/>
              </w:rPr>
              <w:t>Beneficial Owners of Shares Held in “Street Name</w:t>
            </w:r>
            <w:r>
              <w:rPr>
                <w:rFonts w:ascii="Arial" w:cs="Arial" w:eastAsia="Arial" w:hAnsi="Arial"/>
                <w:sz w:val="16"/>
                <w:szCs w:val="16"/>
                <w:color w:val="auto"/>
              </w:rPr>
              <w:t>.” If you are a beneficial owner of shares and</w:t>
            </w:r>
          </w:p>
        </w:tc>
        <w:tc>
          <w:tcPr>
            <w:tcW w:w="10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do not provide instructions to your bank, brokerage firm or other similar organization, your</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spacing w:after="0"/>
              <w:rPr>
                <w:sz w:val="16"/>
                <w:szCs w:val="16"/>
                <w:color w:val="auto"/>
              </w:rPr>
            </w:pP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shares will not be voted on any proposal on which the bank, brokerage firm or other similar</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organization does not have discretionary authority to vote. This is referred to in this Proxy</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Statement and in general as a broker non-vote. Broker non-votes occur on a matter when a</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spacing w:after="0"/>
              <w:rPr>
                <w:sz w:val="16"/>
                <w:szCs w:val="16"/>
                <w:color w:val="auto"/>
              </w:rPr>
            </w:pP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broker is not permitted to vote on that matter without instructions from the beneficial owner and</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instructions are not given. These matters are referred to as “non-routine” matters. Brokers have</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w w:val="99"/>
              </w:rPr>
              <w:t>discretionary power to vote your shares with respect to “routine” matters, but they may not have</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spacing w:after="0"/>
              <w:rPr>
                <w:sz w:val="16"/>
                <w:szCs w:val="16"/>
                <w:color w:val="auto"/>
              </w:rPr>
            </w:pP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discretionary power to vote your shares on “non-routine” matters. We expect that the (i) election</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of directors, (ii) advisory non-binding vote to approve the Company’s executive compensation,</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(iii) advisory non-binding vote on frequency of future advisory non-binding votes to approve the</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spacing w:after="0"/>
              <w:rPr>
                <w:sz w:val="16"/>
                <w:szCs w:val="16"/>
                <w:color w:val="auto"/>
              </w:rPr>
            </w:pP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Company’s executive compensation, (iv) the approval of the reduction of the Company’s capital,</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and (v) the approval of an amendment to the Company’s Articles of Association will be</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considered non-routine matters. In the case of non-routine matters, the bank, brokerage firm or</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spacing w:after="0"/>
              <w:rPr>
                <w:sz w:val="16"/>
                <w:szCs w:val="16"/>
                <w:color w:val="auto"/>
              </w:rPr>
            </w:pP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other similar organization will not be able to vote your shares on those matters for which specific</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color w:val="auto"/>
              </w:rPr>
              <w:t xml:space="preserve">authorization is required. </w:t>
            </w:r>
            <w:r>
              <w:rPr>
                <w:rFonts w:ascii="Arial" w:cs="Arial" w:eastAsia="Arial" w:hAnsi="Arial"/>
                <w:sz w:val="16"/>
                <w:szCs w:val="16"/>
                <w:b w:val="1"/>
                <w:bCs w:val="1"/>
                <w:color w:val="auto"/>
              </w:rPr>
              <w:t>A bank, brokerage firm or similar organization may not be</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E5E5E5"/>
          </w:tcPr>
          <w:p>
            <w:pPr>
              <w:spacing w:after="0"/>
              <w:rPr>
                <w:sz w:val="15"/>
                <w:szCs w:val="15"/>
                <w:color w:val="auto"/>
              </w:rPr>
            </w:pPr>
          </w:p>
        </w:tc>
        <w:tc>
          <w:tcPr>
            <w:tcW w:w="1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840" w:type="dxa"/>
            <w:vAlign w:val="bottom"/>
            <w:shd w:val="clear" w:color="auto" w:fill="E5E5E5"/>
          </w:tcPr>
          <w:p>
            <w:pPr>
              <w:ind w:left="80"/>
              <w:spacing w:after="0" w:line="175" w:lineRule="exact"/>
              <w:rPr>
                <w:sz w:val="20"/>
                <w:szCs w:val="20"/>
                <w:color w:val="auto"/>
              </w:rPr>
            </w:pPr>
            <w:r>
              <w:rPr>
                <w:rFonts w:ascii="Arial" w:cs="Arial" w:eastAsia="Arial" w:hAnsi="Arial"/>
                <w:sz w:val="16"/>
                <w:szCs w:val="16"/>
                <w:b w:val="1"/>
                <w:bCs w:val="1"/>
                <w:color w:val="auto"/>
              </w:rPr>
              <w:t>permitted by its rules to vote your shares with respect to non-routine matters if you</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E5E5E5"/>
          </w:tcPr>
          <w:p>
            <w:pPr>
              <w:spacing w:after="0"/>
              <w:rPr>
                <w:sz w:val="16"/>
                <w:szCs w:val="16"/>
                <w:color w:val="auto"/>
              </w:rPr>
            </w:pPr>
          </w:p>
        </w:tc>
        <w:tc>
          <w:tcPr>
            <w:tcW w:w="1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have not provided instructions. We strongly encourage you to submit your proxy and</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E5E5E5"/>
          </w:tcPr>
          <w:p>
            <w:pPr>
              <w:spacing w:after="0"/>
              <w:rPr>
                <w:sz w:val="19"/>
                <w:szCs w:val="19"/>
                <w:color w:val="auto"/>
              </w:rPr>
            </w:pPr>
          </w:p>
        </w:tc>
        <w:tc>
          <w:tcPr>
            <w:tcW w:w="120" w:type="dxa"/>
            <w:vAlign w:val="bottom"/>
            <w:tcBorders>
              <w:right w:val="single" w:sz="8" w:color="auto"/>
            </w:tcBorders>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exercise your right to vote as a shareholder.</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220" w:type="dxa"/>
            <w:vAlign w:val="bottom"/>
            <w:tcBorders>
              <w:bottom w:val="single" w:sz="8" w:color="auto"/>
            </w:tcBorders>
            <w:shd w:val="clear" w:color="auto" w:fill="E5E5E5"/>
          </w:tcPr>
          <w:p>
            <w:pPr>
              <w:spacing w:after="0"/>
              <w:rPr>
                <w:sz w:val="5"/>
                <w:szCs w:val="5"/>
                <w:color w:val="auto"/>
              </w:rPr>
            </w:pPr>
          </w:p>
        </w:tc>
        <w:tc>
          <w:tcPr>
            <w:tcW w:w="120" w:type="dxa"/>
            <w:vAlign w:val="bottom"/>
            <w:tcBorders>
              <w:bottom w:val="single" w:sz="8" w:color="auto"/>
              <w:right w:val="single" w:sz="8" w:color="auto"/>
            </w:tcBorders>
            <w:shd w:val="clear" w:color="auto" w:fill="E5E5E5"/>
          </w:tcPr>
          <w:p>
            <w:pPr>
              <w:spacing w:after="0"/>
              <w:rPr>
                <w:sz w:val="5"/>
                <w:szCs w:val="5"/>
                <w:color w:val="auto"/>
              </w:rPr>
            </w:pPr>
          </w:p>
        </w:tc>
        <w:tc>
          <w:tcPr>
            <w:tcW w:w="120" w:type="dxa"/>
            <w:vAlign w:val="bottom"/>
            <w:tcBorders>
              <w:bottom w:val="single" w:sz="8" w:color="auto"/>
            </w:tcBorders>
            <w:shd w:val="clear" w:color="auto" w:fill="E5E5E5"/>
          </w:tcPr>
          <w:p>
            <w:pPr>
              <w:spacing w:after="0"/>
              <w:rPr>
                <w:sz w:val="5"/>
                <w:szCs w:val="5"/>
                <w:color w:val="auto"/>
              </w:rPr>
            </w:pPr>
          </w:p>
        </w:tc>
        <w:tc>
          <w:tcPr>
            <w:tcW w:w="6840" w:type="dxa"/>
            <w:vAlign w:val="bottom"/>
            <w:tcBorders>
              <w:bottom w:val="single" w:sz="8" w:color="auto"/>
            </w:tcBorders>
            <w:shd w:val="clear" w:color="auto" w:fill="E5E5E5"/>
          </w:tcPr>
          <w:p>
            <w:pPr>
              <w:spacing w:after="0"/>
              <w:rPr>
                <w:sz w:val="5"/>
                <w:szCs w:val="5"/>
                <w:color w:val="auto"/>
              </w:rPr>
            </w:pPr>
          </w:p>
        </w:tc>
        <w:tc>
          <w:tcPr>
            <w:tcW w:w="100" w:type="dxa"/>
            <w:vAlign w:val="bottom"/>
            <w:tcBorders>
              <w:bottom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80"/>
        <w:spacing w:after="0"/>
        <w:tabs>
          <w:tab w:leader="none" w:pos="5220" w:val="left"/>
          <w:tab w:leader="none" w:pos="846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5</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Questions and Answers About Our Annual Meeting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66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8"/>
                <w:szCs w:val="18"/>
                <w:b w:val="1"/>
                <w:bCs w:val="1"/>
                <w:color w:val="auto"/>
              </w:rPr>
              <w:t xml:space="preserve"> What is the “quorum”</w:t>
            </w:r>
          </w:p>
        </w:tc>
        <w:tc>
          <w:tcPr>
            <w:tcW w:w="1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In order to conduct any business at the Annual General Meeting, holders of a majority of our</w:t>
            </w:r>
          </w:p>
        </w:tc>
        <w:tc>
          <w:tcPr>
            <w:tcW w:w="76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requirement for the</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ordinary shares outstanding and entitled to vote on the record date must be present in person or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Annual General</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w w:val="99"/>
              </w:rPr>
              <w:t>represented by valid proxies. This is called a quorum. Your shares will be counted for purposes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Meeting?</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determining if there is a quorum, whether representing votes for, against or abstained if you:</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gridSpan w:val="5"/>
          </w:tcPr>
          <w:p>
            <w:pPr>
              <w:ind w:left="20"/>
              <w:spacing w:after="0"/>
              <w:rPr>
                <w:sz w:val="20"/>
                <w:szCs w:val="20"/>
                <w:color w:val="auto"/>
              </w:rPr>
            </w:pPr>
            <w:r>
              <w:rPr>
                <w:rFonts w:ascii="Arial" w:cs="Arial" w:eastAsia="Arial" w:hAnsi="Arial"/>
                <w:sz w:val="16"/>
                <w:szCs w:val="16"/>
                <w:color w:val="auto"/>
              </w:rPr>
              <w:t>• are present and vote in person at the meeting;</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0" w:type="dxa"/>
            <w:vAlign w:val="bottom"/>
            <w:gridSpan w:val="5"/>
          </w:tcPr>
          <w:p>
            <w:pPr>
              <w:ind w:left="20"/>
              <w:spacing w:after="0"/>
              <w:rPr>
                <w:sz w:val="20"/>
                <w:szCs w:val="20"/>
                <w:color w:val="auto"/>
              </w:rPr>
            </w:pPr>
            <w:r>
              <w:rPr>
                <w:rFonts w:ascii="Arial" w:cs="Arial" w:eastAsia="Arial" w:hAnsi="Arial"/>
                <w:sz w:val="16"/>
                <w:szCs w:val="16"/>
                <w:color w:val="auto"/>
              </w:rPr>
              <w:t>• have voted by internet or by telephone; or</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6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color w:val="auto"/>
              </w:rPr>
              <w:t>• have submitted a proxy card or voting instruction form by mail.</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2080" w:type="dxa"/>
            <w:vAlign w:val="bottom"/>
            <w:tcBorders>
              <w:bottom w:val="single" w:sz="8" w:color="E5E5E5"/>
            </w:tcBorders>
            <w:shd w:val="clear" w:color="auto" w:fill="E5E5E5"/>
          </w:tcPr>
          <w:p>
            <w:pPr>
              <w:ind w:left="20"/>
              <w:spacing w:after="0" w:line="218" w:lineRule="exact"/>
              <w:rPr>
                <w:sz w:val="20"/>
                <w:szCs w:val="20"/>
                <w:color w:val="auto"/>
              </w:rPr>
            </w:pPr>
            <w:r>
              <w:rPr>
                <w:rFonts w:ascii="Arial" w:cs="Arial" w:eastAsia="Arial" w:hAnsi="Arial"/>
                <w:sz w:val="25"/>
                <w:szCs w:val="25"/>
                <w:b w:val="1"/>
                <w:bCs w:val="1"/>
                <w:color w:val="auto"/>
                <w:vertAlign w:val="superscript"/>
              </w:rPr>
              <w:t>​</w:t>
            </w:r>
            <w:r>
              <w:rPr>
                <w:rFonts w:ascii="Arial" w:cs="Arial" w:eastAsia="Arial" w:hAnsi="Arial"/>
                <w:sz w:val="14"/>
                <w:szCs w:val="14"/>
                <w:b w:val="1"/>
                <w:bCs w:val="1"/>
                <w:color w:val="auto"/>
              </w:rPr>
              <w:t xml:space="preserve"> Assuming there is a</w:t>
            </w:r>
          </w:p>
        </w:tc>
        <w:tc>
          <w:tcPr>
            <w:tcW w:w="14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w:t>
            </w:r>
          </w:p>
        </w:tc>
        <w:tc>
          <w:tcPr>
            <w:tcW w:w="5000" w:type="dxa"/>
            <w:vAlign w:val="bottom"/>
            <w:tcBorders>
              <w:bottom w:val="single" w:sz="8" w:color="E5E5E5"/>
            </w:tcBorders>
            <w:gridSpan w:val="5"/>
            <w:shd w:val="clear" w:color="auto" w:fill="E5E5E5"/>
          </w:tcPr>
          <w:p>
            <w:pPr>
              <w:ind w:left="20"/>
              <w:spacing w:after="0"/>
              <w:rPr>
                <w:sz w:val="20"/>
                <w:szCs w:val="20"/>
                <w:color w:val="auto"/>
              </w:rPr>
            </w:pPr>
            <w:r>
              <w:rPr>
                <w:rFonts w:ascii="Arial" w:cs="Arial" w:eastAsia="Arial" w:hAnsi="Arial"/>
                <w:sz w:val="16"/>
                <w:szCs w:val="16"/>
                <w:color w:val="auto"/>
              </w:rPr>
              <w:t>The voting requirement for each of the proposals is as follows:</w:t>
            </w:r>
          </w:p>
        </w:tc>
        <w:tc>
          <w:tcPr>
            <w:tcW w:w="200" w:type="dxa"/>
            <w:vAlign w:val="bottom"/>
            <w:tcBorders>
              <w:bottom w:val="single" w:sz="8" w:color="E5E5E5"/>
            </w:tcBorders>
            <w:shd w:val="clear" w:color="auto" w:fill="E5E5E5"/>
          </w:tcPr>
          <w:p>
            <w:pPr>
              <w:spacing w:after="0"/>
              <w:rPr>
                <w:sz w:val="20"/>
                <w:szCs w:val="20"/>
                <w:color w:val="auto"/>
              </w:rPr>
            </w:pPr>
          </w:p>
        </w:tc>
        <w:tc>
          <w:tcPr>
            <w:tcW w:w="1700" w:type="dxa"/>
            <w:vAlign w:val="bottom"/>
            <w:tcBorders>
              <w:bottom w:val="single" w:sz="8" w:color="E5E5E5"/>
            </w:tcBorders>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proper quorum of</w:t>
            </w:r>
          </w:p>
        </w:tc>
        <w:tc>
          <w:tcPr>
            <w:tcW w:w="140" w:type="dxa"/>
            <w:vAlign w:val="bottom"/>
            <w:tcBorders>
              <w:right w:val="single" w:sz="8" w:color="auto"/>
            </w:tcBorders>
            <w:shd w:val="clear" w:color="auto" w:fill="E5E5E5"/>
          </w:tcPr>
          <w:p>
            <w:pPr>
              <w:spacing w:after="0"/>
              <w:rPr>
                <w:sz w:val="16"/>
                <w:szCs w:val="16"/>
                <w:color w:val="auto"/>
              </w:rPr>
            </w:pPr>
          </w:p>
        </w:tc>
        <w:tc>
          <w:tcPr>
            <w:tcW w:w="180" w:type="dxa"/>
            <w:vAlign w:val="bottom"/>
            <w:gridSpan w:val="2"/>
            <w:shd w:val="clear" w:color="auto" w:fill="B2EEDE"/>
          </w:tcPr>
          <w:p>
            <w:pPr>
              <w:ind w:left="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B2EEDE"/>
          </w:tcPr>
          <w:p>
            <w:pPr>
              <w:spacing w:after="0"/>
              <w:rPr>
                <w:sz w:val="16"/>
                <w:szCs w:val="16"/>
                <w:color w:val="auto"/>
              </w:rPr>
            </w:pPr>
          </w:p>
        </w:tc>
        <w:tc>
          <w:tcPr>
            <w:tcW w:w="2060" w:type="dxa"/>
            <w:vAlign w:val="bottom"/>
            <w:gridSpan w:val="3"/>
            <w:shd w:val="clear" w:color="auto" w:fill="B2EEDE"/>
          </w:tcPr>
          <w:p>
            <w:pPr>
              <w:jc w:val="center"/>
              <w:ind w:right="1701"/>
              <w:spacing w:after="0"/>
              <w:rPr>
                <w:sz w:val="20"/>
                <w:szCs w:val="20"/>
                <w:color w:val="auto"/>
              </w:rPr>
            </w:pPr>
            <w:r>
              <w:rPr>
                <w:rFonts w:ascii="Arial" w:cs="Arial" w:eastAsia="Arial" w:hAnsi="Arial"/>
                <w:sz w:val="16"/>
                <w:szCs w:val="16"/>
                <w:b w:val="1"/>
                <w:bCs w:val="1"/>
                <w:color w:val="auto"/>
              </w:rPr>
              <w:t>​ ​</w:t>
            </w:r>
          </w:p>
        </w:tc>
        <w:tc>
          <w:tcPr>
            <w:tcW w:w="2720" w:type="dxa"/>
            <w:vAlign w:val="bottom"/>
            <w:shd w:val="clear" w:color="auto" w:fill="B2EEDE"/>
          </w:tcPr>
          <w:p>
            <w:pPr>
              <w:ind w:left="100"/>
              <w:spacing w:after="0"/>
              <w:rPr>
                <w:sz w:val="20"/>
                <w:szCs w:val="20"/>
                <w:color w:val="auto"/>
              </w:rPr>
            </w:pPr>
            <w:r>
              <w:rPr>
                <w:rFonts w:ascii="Arial" w:cs="Arial" w:eastAsia="Arial" w:hAnsi="Arial"/>
                <w:sz w:val="16"/>
                <w:szCs w:val="16"/>
                <w:b w:val="1"/>
                <w:bCs w:val="1"/>
                <w:color w:val="auto"/>
              </w:rPr>
              <w:t>Proposal</w:t>
            </w:r>
          </w:p>
        </w:tc>
        <w:tc>
          <w:tcPr>
            <w:tcW w:w="2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w:t>
            </w:r>
          </w:p>
        </w:tc>
        <w:tc>
          <w:tcPr>
            <w:tcW w:w="1700" w:type="dxa"/>
            <w:vAlign w:val="bottom"/>
            <w:shd w:val="clear" w:color="auto" w:fill="B2EEDE"/>
          </w:tcPr>
          <w:p>
            <w:pPr>
              <w:spacing w:after="0" w:line="189"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2"/>
                <w:szCs w:val="12"/>
                <w:b w:val="1"/>
                <w:bCs w:val="1"/>
                <w:color w:val="auto"/>
              </w:rPr>
              <w:t xml:space="preserve">   Vote Required</w:t>
            </w:r>
          </w:p>
        </w:tc>
        <w:tc>
          <w:tcPr>
            <w:tcW w:w="100" w:type="dxa"/>
            <w:vAlign w:val="bottom"/>
            <w:shd w:val="clear" w:color="auto" w:fill="B2EEDE"/>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2080" w:type="dxa"/>
            <w:vAlign w:val="bottom"/>
            <w:vMerge w:val="restart"/>
            <w:shd w:val="clear" w:color="auto" w:fill="E5E5E5"/>
          </w:tcPr>
          <w:p>
            <w:pPr>
              <w:ind w:left="120"/>
              <w:spacing w:after="0" w:line="170" w:lineRule="exact"/>
              <w:rPr>
                <w:sz w:val="20"/>
                <w:szCs w:val="20"/>
                <w:color w:val="auto"/>
              </w:rPr>
            </w:pPr>
            <w:r>
              <w:rPr>
                <w:rFonts w:ascii="Arial" w:cs="Arial" w:eastAsia="Arial" w:hAnsi="Arial"/>
                <w:sz w:val="18"/>
                <w:szCs w:val="18"/>
                <w:b w:val="1"/>
                <w:bCs w:val="1"/>
                <w:color w:val="auto"/>
              </w:rPr>
              <w:t>shares represented at</w:t>
            </w:r>
          </w:p>
        </w:tc>
        <w:tc>
          <w:tcPr>
            <w:tcW w:w="140" w:type="dxa"/>
            <w:vAlign w:val="bottom"/>
            <w:tcBorders>
              <w:right w:val="single" w:sz="8" w:color="auto"/>
            </w:tcBorders>
            <w:shd w:val="clear" w:color="auto" w:fill="E5E5E5"/>
          </w:tcPr>
          <w:p>
            <w:pPr>
              <w:spacing w:after="0"/>
              <w:rPr>
                <w:sz w:val="5"/>
                <w:szCs w:val="5"/>
                <w:color w:val="auto"/>
              </w:rPr>
            </w:pPr>
          </w:p>
        </w:tc>
        <w:tc>
          <w:tcPr>
            <w:tcW w:w="100" w:type="dxa"/>
            <w:vAlign w:val="bottom"/>
            <w:shd w:val="clear" w:color="auto" w:fill="B2EEDE"/>
          </w:tcPr>
          <w:p>
            <w:pPr>
              <w:spacing w:after="0"/>
              <w:rPr>
                <w:sz w:val="5"/>
                <w:szCs w:val="5"/>
                <w:color w:val="auto"/>
              </w:rPr>
            </w:pPr>
          </w:p>
        </w:tc>
        <w:tc>
          <w:tcPr>
            <w:tcW w:w="80" w:type="dxa"/>
            <w:vAlign w:val="bottom"/>
            <w:shd w:val="clear" w:color="auto" w:fill="B2EEDE"/>
          </w:tcPr>
          <w:p>
            <w:pPr>
              <w:spacing w:after="0"/>
              <w:rPr>
                <w:sz w:val="5"/>
                <w:szCs w:val="5"/>
                <w:color w:val="auto"/>
              </w:rPr>
            </w:pPr>
          </w:p>
        </w:tc>
        <w:tc>
          <w:tcPr>
            <w:tcW w:w="220" w:type="dxa"/>
            <w:vAlign w:val="bottom"/>
            <w:shd w:val="clear" w:color="auto" w:fill="B2EEDE"/>
          </w:tcPr>
          <w:p>
            <w:pPr>
              <w:spacing w:after="0"/>
              <w:rPr>
                <w:sz w:val="5"/>
                <w:szCs w:val="5"/>
                <w:color w:val="auto"/>
              </w:rPr>
            </w:pPr>
          </w:p>
        </w:tc>
        <w:tc>
          <w:tcPr>
            <w:tcW w:w="120" w:type="dxa"/>
            <w:vAlign w:val="bottom"/>
            <w:shd w:val="clear" w:color="auto" w:fill="B2EEDE"/>
          </w:tcPr>
          <w:p>
            <w:pPr>
              <w:spacing w:after="0"/>
              <w:rPr>
                <w:sz w:val="5"/>
                <w:szCs w:val="5"/>
                <w:color w:val="auto"/>
              </w:rPr>
            </w:pPr>
          </w:p>
        </w:tc>
        <w:tc>
          <w:tcPr>
            <w:tcW w:w="100" w:type="dxa"/>
            <w:vAlign w:val="bottom"/>
            <w:shd w:val="clear" w:color="auto" w:fill="B2EEDE"/>
          </w:tcPr>
          <w:p>
            <w:pPr>
              <w:spacing w:after="0"/>
              <w:rPr>
                <w:sz w:val="5"/>
                <w:szCs w:val="5"/>
                <w:color w:val="auto"/>
              </w:rPr>
            </w:pPr>
          </w:p>
        </w:tc>
        <w:tc>
          <w:tcPr>
            <w:tcW w:w="1840" w:type="dxa"/>
            <w:vAlign w:val="bottom"/>
            <w:shd w:val="clear" w:color="auto" w:fill="B2EEDE"/>
          </w:tcPr>
          <w:p>
            <w:pPr>
              <w:spacing w:after="0"/>
              <w:rPr>
                <w:sz w:val="5"/>
                <w:szCs w:val="5"/>
                <w:color w:val="auto"/>
              </w:rPr>
            </w:pPr>
          </w:p>
        </w:tc>
        <w:tc>
          <w:tcPr>
            <w:tcW w:w="2720" w:type="dxa"/>
            <w:vAlign w:val="bottom"/>
            <w:shd w:val="clear" w:color="auto" w:fill="B2EEDE"/>
          </w:tcPr>
          <w:p>
            <w:pPr>
              <w:spacing w:after="0"/>
              <w:rPr>
                <w:sz w:val="5"/>
                <w:szCs w:val="5"/>
                <w:color w:val="auto"/>
              </w:rPr>
            </w:pPr>
          </w:p>
        </w:tc>
        <w:tc>
          <w:tcPr>
            <w:tcW w:w="200" w:type="dxa"/>
            <w:vAlign w:val="bottom"/>
            <w:shd w:val="clear" w:color="auto" w:fill="E5E5E5"/>
          </w:tcPr>
          <w:p>
            <w:pPr>
              <w:spacing w:after="0"/>
              <w:rPr>
                <w:sz w:val="5"/>
                <w:szCs w:val="5"/>
                <w:color w:val="auto"/>
              </w:rPr>
            </w:pPr>
          </w:p>
        </w:tc>
        <w:tc>
          <w:tcPr>
            <w:tcW w:w="1700" w:type="dxa"/>
            <w:vAlign w:val="bottom"/>
            <w:shd w:val="clear" w:color="auto" w:fill="B2EEDE"/>
          </w:tcPr>
          <w:p>
            <w:pPr>
              <w:spacing w:after="0"/>
              <w:rPr>
                <w:sz w:val="5"/>
                <w:szCs w:val="5"/>
                <w:color w:val="auto"/>
              </w:rPr>
            </w:pPr>
          </w:p>
        </w:tc>
        <w:tc>
          <w:tcPr>
            <w:tcW w:w="100" w:type="dxa"/>
            <w:vAlign w:val="bottom"/>
            <w:shd w:val="clear" w:color="auto" w:fill="B2EEDE"/>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660" w:type="dxa"/>
            <w:vAlign w:val="bottom"/>
          </w:tcPr>
          <w:p>
            <w:pPr>
              <w:spacing w:after="0"/>
              <w:rPr>
                <w:sz w:val="8"/>
                <w:szCs w:val="8"/>
                <w:color w:val="auto"/>
              </w:rPr>
            </w:pPr>
          </w:p>
        </w:tc>
        <w:tc>
          <w:tcPr>
            <w:tcW w:w="2080" w:type="dxa"/>
            <w:vAlign w:val="bottom"/>
            <w:vMerge w:val="continue"/>
            <w:shd w:val="clear" w:color="auto" w:fill="E5E5E5"/>
          </w:tcPr>
          <w:p>
            <w:pPr>
              <w:spacing w:after="0"/>
              <w:rPr>
                <w:sz w:val="8"/>
                <w:szCs w:val="8"/>
                <w:color w:val="auto"/>
              </w:rPr>
            </w:pPr>
          </w:p>
        </w:tc>
        <w:tc>
          <w:tcPr>
            <w:tcW w:w="140" w:type="dxa"/>
            <w:vAlign w:val="bottom"/>
            <w:tcBorders>
              <w:right w:val="single" w:sz="8" w:color="auto"/>
            </w:tcBorders>
            <w:shd w:val="clear" w:color="auto" w:fill="E5E5E5"/>
          </w:tcPr>
          <w:p>
            <w:pPr>
              <w:spacing w:after="0"/>
              <w:rPr>
                <w:sz w:val="8"/>
                <w:szCs w:val="8"/>
                <w:color w:val="auto"/>
              </w:rPr>
            </w:pP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8"/>
                <w:szCs w:val="8"/>
                <w:color w:val="auto"/>
              </w:rPr>
            </w:pPr>
          </w:p>
        </w:tc>
        <w:tc>
          <w:tcPr>
            <w:tcW w:w="2280" w:type="dxa"/>
            <w:vAlign w:val="bottom"/>
            <w:gridSpan w:val="4"/>
            <w:vMerge w:val="restart"/>
            <w:shd w:val="clear" w:color="auto" w:fill="E5E5E5"/>
          </w:tcPr>
          <w:p>
            <w:pPr>
              <w:ind w:left="20"/>
              <w:spacing w:after="0" w:line="256" w:lineRule="exact"/>
              <w:rPr>
                <w:sz w:val="20"/>
                <w:szCs w:val="20"/>
                <w:color w:val="auto"/>
              </w:rPr>
            </w:pPr>
            <w:r>
              <w:rPr>
                <w:rFonts w:ascii="Arial" w:cs="Arial" w:eastAsia="Arial" w:hAnsi="Arial"/>
                <w:sz w:val="15"/>
                <w:szCs w:val="15"/>
                <w:b w:val="1"/>
                <w:bCs w:val="1"/>
                <w:color w:val="auto"/>
              </w:rPr>
              <w:t xml:space="preserve">1. </w:t>
            </w:r>
            <w:r>
              <w:rPr>
                <w:rFonts w:ascii="Arial" w:cs="Arial" w:eastAsia="Arial" w:hAnsi="Arial"/>
                <w:sz w:val="29"/>
                <w:szCs w:val="29"/>
                <w:color w:val="auto"/>
                <w:vertAlign w:val="superscript"/>
              </w:rPr>
              <w:t>​ ​</w:t>
            </w:r>
            <w:r>
              <w:rPr>
                <w:rFonts w:ascii="Arial" w:cs="Arial" w:eastAsia="Arial" w:hAnsi="Arial"/>
                <w:sz w:val="15"/>
                <w:szCs w:val="15"/>
                <w:b w:val="1"/>
                <w:bCs w:val="1"/>
                <w:color w:val="auto"/>
              </w:rPr>
              <w:t xml:space="preserve"> </w:t>
            </w:r>
            <w:r>
              <w:rPr>
                <w:rFonts w:ascii="Arial" w:cs="Arial" w:eastAsia="Arial" w:hAnsi="Arial"/>
                <w:sz w:val="15"/>
                <w:szCs w:val="15"/>
                <w:color w:val="auto"/>
              </w:rPr>
              <w:t>Election of directors</w:t>
            </w:r>
          </w:p>
        </w:tc>
        <w:tc>
          <w:tcPr>
            <w:tcW w:w="2720" w:type="dxa"/>
            <w:vAlign w:val="bottom"/>
            <w:shd w:val="clear" w:color="auto" w:fill="E5E5E5"/>
          </w:tcPr>
          <w:p>
            <w:pPr>
              <w:spacing w:after="0"/>
              <w:rPr>
                <w:sz w:val="8"/>
                <w:szCs w:val="8"/>
                <w:color w:val="auto"/>
              </w:rPr>
            </w:pPr>
          </w:p>
        </w:tc>
        <w:tc>
          <w:tcPr>
            <w:tcW w:w="2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E5E5E5"/>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Majority of votes cast</w:t>
            </w: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2080" w:type="dxa"/>
            <w:vAlign w:val="bottom"/>
            <w:tcBorders>
              <w:bottom w:val="single" w:sz="8" w:color="E5E5E5"/>
            </w:tcBorders>
            <w:vMerge w:val="restart"/>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the Annual General</w:t>
            </w:r>
          </w:p>
        </w:tc>
        <w:tc>
          <w:tcPr>
            <w:tcW w:w="140" w:type="dxa"/>
            <w:vAlign w:val="bottom"/>
            <w:tcBorders>
              <w:bottom w:val="single" w:sz="8" w:color="E5E5E5"/>
              <w:right w:val="single" w:sz="8" w:color="auto"/>
            </w:tcBorders>
            <w:shd w:val="clear" w:color="auto" w:fill="E5E5E5"/>
          </w:tcPr>
          <w:p>
            <w:pPr>
              <w:spacing w:after="0"/>
              <w:rPr>
                <w:sz w:val="13"/>
                <w:szCs w:val="13"/>
                <w:color w:val="auto"/>
              </w:rPr>
            </w:pPr>
          </w:p>
        </w:tc>
        <w:tc>
          <w:tcPr>
            <w:tcW w:w="100" w:type="dxa"/>
            <w:vAlign w:val="bottom"/>
            <w:tcBorders>
              <w:bottom w:val="single" w:sz="8" w:color="auto"/>
            </w:tcBorders>
            <w:vMerge w:val="continue"/>
            <w:shd w:val="clear" w:color="auto" w:fill="E5E5E5"/>
          </w:tcPr>
          <w:p>
            <w:pPr>
              <w:spacing w:after="0"/>
              <w:rPr>
                <w:sz w:val="13"/>
                <w:szCs w:val="13"/>
                <w:color w:val="auto"/>
              </w:rPr>
            </w:pPr>
          </w:p>
        </w:tc>
        <w:tc>
          <w:tcPr>
            <w:tcW w:w="80" w:type="dxa"/>
            <w:vAlign w:val="bottom"/>
            <w:tcBorders>
              <w:bottom w:val="single" w:sz="8" w:color="auto"/>
            </w:tcBorders>
            <w:shd w:val="clear" w:color="auto" w:fill="E5E5E5"/>
          </w:tcPr>
          <w:p>
            <w:pPr>
              <w:spacing w:after="0"/>
              <w:rPr>
                <w:sz w:val="13"/>
                <w:szCs w:val="13"/>
                <w:color w:val="auto"/>
              </w:rPr>
            </w:pPr>
          </w:p>
        </w:tc>
        <w:tc>
          <w:tcPr>
            <w:tcW w:w="2280" w:type="dxa"/>
            <w:vAlign w:val="bottom"/>
            <w:tcBorders>
              <w:bottom w:val="single" w:sz="8" w:color="auto"/>
            </w:tcBorders>
            <w:gridSpan w:val="4"/>
            <w:vMerge w:val="continue"/>
            <w:shd w:val="clear" w:color="auto" w:fill="E5E5E5"/>
          </w:tcPr>
          <w:p>
            <w:pPr>
              <w:spacing w:after="0"/>
              <w:rPr>
                <w:sz w:val="13"/>
                <w:szCs w:val="13"/>
                <w:color w:val="auto"/>
              </w:rPr>
            </w:pPr>
          </w:p>
        </w:tc>
        <w:tc>
          <w:tcPr>
            <w:tcW w:w="2720" w:type="dxa"/>
            <w:vAlign w:val="bottom"/>
            <w:tcBorders>
              <w:bottom w:val="single" w:sz="8" w:color="auto"/>
            </w:tcBorders>
            <w:shd w:val="clear" w:color="auto" w:fill="E5E5E5"/>
          </w:tcPr>
          <w:p>
            <w:pPr>
              <w:spacing w:after="0"/>
              <w:rPr>
                <w:sz w:val="13"/>
                <w:szCs w:val="13"/>
                <w:color w:val="auto"/>
              </w:rPr>
            </w:pPr>
          </w:p>
        </w:tc>
        <w:tc>
          <w:tcPr>
            <w:tcW w:w="200" w:type="dxa"/>
            <w:vAlign w:val="bottom"/>
            <w:tcBorders>
              <w:bottom w:val="single" w:sz="8" w:color="auto"/>
            </w:tcBorders>
            <w:vMerge w:val="continue"/>
            <w:shd w:val="clear" w:color="auto" w:fill="E5E5E5"/>
          </w:tcPr>
          <w:p>
            <w:pPr>
              <w:spacing w:after="0"/>
              <w:rPr>
                <w:sz w:val="13"/>
                <w:szCs w:val="13"/>
                <w:color w:val="auto"/>
              </w:rPr>
            </w:pPr>
          </w:p>
        </w:tc>
        <w:tc>
          <w:tcPr>
            <w:tcW w:w="1700" w:type="dxa"/>
            <w:vAlign w:val="bottom"/>
            <w:tcBorders>
              <w:bottom w:val="single" w:sz="8" w:color="auto"/>
            </w:tcBorders>
            <w:vMerge w:val="continue"/>
            <w:shd w:val="clear" w:color="auto" w:fill="E5E5E5"/>
          </w:tcPr>
          <w:p>
            <w:pPr>
              <w:spacing w:after="0"/>
              <w:rPr>
                <w:sz w:val="13"/>
                <w:szCs w:val="13"/>
                <w:color w:val="auto"/>
              </w:rPr>
            </w:pPr>
          </w:p>
        </w:tc>
        <w:tc>
          <w:tcPr>
            <w:tcW w:w="100" w:type="dxa"/>
            <w:vAlign w:val="bottom"/>
            <w:tcBorders>
              <w:bottom w:val="single" w:sz="8" w:color="auto"/>
            </w:tcBorders>
            <w:vMerge w:val="continue"/>
            <w:shd w:val="clear" w:color="auto" w:fill="E5E5E5"/>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2080" w:type="dxa"/>
            <w:vAlign w:val="bottom"/>
            <w:vMerge w:val="continue"/>
            <w:shd w:val="clear" w:color="auto" w:fill="E5E5E5"/>
          </w:tcPr>
          <w:p>
            <w:pPr>
              <w:spacing w:after="0"/>
              <w:rPr>
                <w:sz w:val="2"/>
                <w:szCs w:val="2"/>
                <w:color w:val="auto"/>
              </w:rPr>
            </w:pPr>
          </w:p>
        </w:tc>
        <w:tc>
          <w:tcPr>
            <w:tcW w:w="140" w:type="dxa"/>
            <w:vAlign w:val="bottom"/>
            <w:tcBorders>
              <w:right w:val="single" w:sz="8" w:color="auto"/>
            </w:tcBorders>
            <w:shd w:val="clear" w:color="auto" w:fill="E5E5E5"/>
          </w:tcPr>
          <w:p>
            <w:pPr>
              <w:spacing w:after="0"/>
              <w:rPr>
                <w:sz w:val="2"/>
                <w:szCs w:val="2"/>
                <w:color w:val="auto"/>
              </w:rPr>
            </w:pP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2"/>
                <w:szCs w:val="2"/>
                <w:color w:val="auto"/>
              </w:rPr>
            </w:pPr>
          </w:p>
        </w:tc>
        <w:tc>
          <w:tcPr>
            <w:tcW w:w="220" w:type="dxa"/>
            <w:vAlign w:val="bottom"/>
            <w:vMerge w:val="restart"/>
            <w:shd w:val="clear" w:color="auto" w:fill="E5E5E5"/>
          </w:tcPr>
          <w:p>
            <w:pPr>
              <w:ind w:left="20"/>
              <w:spacing w:after="0"/>
              <w:rPr>
                <w:sz w:val="20"/>
                <w:szCs w:val="20"/>
                <w:color w:val="auto"/>
              </w:rPr>
            </w:pPr>
            <w:r>
              <w:rPr>
                <w:rFonts w:ascii="Arial" w:cs="Arial" w:eastAsia="Arial" w:hAnsi="Arial"/>
                <w:sz w:val="16"/>
                <w:szCs w:val="16"/>
                <w:b w:val="1"/>
                <w:bCs w:val="1"/>
                <w:color w:val="auto"/>
              </w:rPr>
              <w:t>2.</w:t>
            </w:r>
          </w:p>
        </w:tc>
        <w:tc>
          <w:tcPr>
            <w:tcW w:w="4780" w:type="dxa"/>
            <w:vAlign w:val="bottom"/>
            <w:gridSpan w:val="4"/>
            <w:vMerge w:val="restart"/>
            <w:shd w:val="clear" w:color="auto" w:fill="E5E5E5"/>
          </w:tcPr>
          <w:p>
            <w:pPr>
              <w:ind w:left="20"/>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Advisory non-binding vote to approve the re-appointment of the</w:t>
            </w:r>
          </w:p>
        </w:tc>
        <w:tc>
          <w:tcPr>
            <w:tcW w:w="2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E5E5E5"/>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Majority of votes cast</w:t>
            </w: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60" w:type="dxa"/>
            <w:vAlign w:val="bottom"/>
          </w:tcPr>
          <w:p>
            <w:pPr>
              <w:spacing w:after="0"/>
              <w:rPr>
                <w:sz w:val="15"/>
                <w:szCs w:val="15"/>
                <w:color w:val="auto"/>
              </w:rPr>
            </w:pPr>
          </w:p>
        </w:tc>
        <w:tc>
          <w:tcPr>
            <w:tcW w:w="2080" w:type="dxa"/>
            <w:vAlign w:val="bottom"/>
            <w:shd w:val="clear" w:color="auto" w:fill="E5E5E5"/>
          </w:tcPr>
          <w:p>
            <w:pPr>
              <w:ind w:left="120"/>
              <w:spacing w:after="0" w:line="181" w:lineRule="exact"/>
              <w:rPr>
                <w:sz w:val="20"/>
                <w:szCs w:val="20"/>
                <w:color w:val="auto"/>
              </w:rPr>
            </w:pPr>
            <w:r>
              <w:rPr>
                <w:rFonts w:ascii="Arial" w:cs="Arial" w:eastAsia="Arial" w:hAnsi="Arial"/>
                <w:sz w:val="18"/>
                <w:szCs w:val="18"/>
                <w:b w:val="1"/>
                <w:bCs w:val="1"/>
                <w:color w:val="auto"/>
              </w:rPr>
              <w:t>Meeting, how many</w:t>
            </w:r>
          </w:p>
        </w:tc>
        <w:tc>
          <w:tcPr>
            <w:tcW w:w="140" w:type="dxa"/>
            <w:vAlign w:val="bottom"/>
            <w:tcBorders>
              <w:right w:val="single" w:sz="8" w:color="auto"/>
            </w:tcBorders>
            <w:shd w:val="clear" w:color="auto" w:fill="E5E5E5"/>
          </w:tcPr>
          <w:p>
            <w:pPr>
              <w:spacing w:after="0"/>
              <w:rPr>
                <w:sz w:val="15"/>
                <w:szCs w:val="15"/>
                <w:color w:val="auto"/>
              </w:rPr>
            </w:pPr>
          </w:p>
        </w:tc>
        <w:tc>
          <w:tcPr>
            <w:tcW w:w="100" w:type="dxa"/>
            <w:vAlign w:val="bottom"/>
            <w:vMerge w:val="continue"/>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vMerge w:val="continue"/>
            <w:shd w:val="clear" w:color="auto" w:fill="E5E5E5"/>
          </w:tcPr>
          <w:p>
            <w:pPr>
              <w:spacing w:after="0"/>
              <w:rPr>
                <w:sz w:val="15"/>
                <w:szCs w:val="15"/>
                <w:color w:val="auto"/>
              </w:rPr>
            </w:pPr>
          </w:p>
        </w:tc>
        <w:tc>
          <w:tcPr>
            <w:tcW w:w="4780" w:type="dxa"/>
            <w:vAlign w:val="bottom"/>
            <w:gridSpan w:val="4"/>
            <w:vMerge w:val="continue"/>
            <w:shd w:val="clear" w:color="auto" w:fill="E5E5E5"/>
          </w:tcPr>
          <w:p>
            <w:pPr>
              <w:spacing w:after="0"/>
              <w:rPr>
                <w:sz w:val="15"/>
                <w:szCs w:val="15"/>
                <w:color w:val="auto"/>
              </w:rPr>
            </w:pPr>
          </w:p>
        </w:tc>
        <w:tc>
          <w:tcPr>
            <w:tcW w:w="200" w:type="dxa"/>
            <w:vAlign w:val="bottom"/>
            <w:vMerge w:val="continue"/>
            <w:shd w:val="clear" w:color="auto" w:fill="E5E5E5"/>
          </w:tcPr>
          <w:p>
            <w:pPr>
              <w:spacing w:after="0"/>
              <w:rPr>
                <w:sz w:val="15"/>
                <w:szCs w:val="15"/>
                <w:color w:val="auto"/>
              </w:rPr>
            </w:pPr>
          </w:p>
        </w:tc>
        <w:tc>
          <w:tcPr>
            <w:tcW w:w="1700" w:type="dxa"/>
            <w:vAlign w:val="bottom"/>
            <w:vMerge w:val="continue"/>
            <w:shd w:val="clear" w:color="auto" w:fill="E5E5E5"/>
          </w:tcPr>
          <w:p>
            <w:pPr>
              <w:spacing w:after="0"/>
              <w:rPr>
                <w:sz w:val="15"/>
                <w:szCs w:val="15"/>
                <w:color w:val="auto"/>
              </w:rPr>
            </w:pPr>
          </w:p>
        </w:tc>
        <w:tc>
          <w:tcPr>
            <w:tcW w:w="100" w:type="dxa"/>
            <w:vAlign w:val="bottom"/>
            <w:vMerge w:val="continue"/>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shares are required to</w:t>
            </w:r>
          </w:p>
        </w:tc>
        <w:tc>
          <w:tcPr>
            <w:tcW w:w="140" w:type="dxa"/>
            <w:vAlign w:val="bottom"/>
            <w:tcBorders>
              <w:right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56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independentauditors and binding vote to authorize the Audit</w:t>
            </w:r>
          </w:p>
        </w:tc>
        <w:tc>
          <w:tcPr>
            <w:tcW w:w="200" w:type="dxa"/>
            <w:vAlign w:val="bottom"/>
            <w:shd w:val="clear" w:color="auto" w:fill="E5E5E5"/>
          </w:tcPr>
          <w:p>
            <w:pPr>
              <w:spacing w:after="0"/>
              <w:rPr>
                <w:sz w:val="17"/>
                <w:szCs w:val="17"/>
                <w:color w:val="auto"/>
              </w:rPr>
            </w:pPr>
          </w:p>
        </w:tc>
        <w:tc>
          <w:tcPr>
            <w:tcW w:w="17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2080" w:type="dxa"/>
            <w:vAlign w:val="bottom"/>
            <w:vMerge w:val="restart"/>
            <w:shd w:val="clear" w:color="auto" w:fill="E5E5E5"/>
          </w:tcPr>
          <w:p>
            <w:pPr>
              <w:ind w:left="120"/>
              <w:spacing w:after="0"/>
              <w:rPr>
                <w:sz w:val="20"/>
                <w:szCs w:val="20"/>
                <w:color w:val="auto"/>
              </w:rPr>
            </w:pPr>
            <w:r>
              <w:rPr>
                <w:rFonts w:ascii="Arial" w:cs="Arial" w:eastAsia="Arial" w:hAnsi="Arial"/>
                <w:sz w:val="18"/>
                <w:szCs w:val="18"/>
                <w:b w:val="1"/>
                <w:bCs w:val="1"/>
                <w:color w:val="auto"/>
              </w:rPr>
              <w:t>approve the proposals</w:t>
            </w:r>
          </w:p>
        </w:tc>
        <w:tc>
          <w:tcPr>
            <w:tcW w:w="140" w:type="dxa"/>
            <w:vAlign w:val="bottom"/>
            <w:tcBorders>
              <w:right w:val="single" w:sz="8" w:color="auto"/>
            </w:tcBorders>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4560" w:type="dxa"/>
            <w:vAlign w:val="bottom"/>
            <w:gridSpan w:val="2"/>
            <w:shd w:val="clear" w:color="auto" w:fill="E5E5E5"/>
          </w:tcPr>
          <w:p>
            <w:pPr>
              <w:spacing w:after="0" w:line="134" w:lineRule="exact"/>
              <w:rPr>
                <w:sz w:val="20"/>
                <w:szCs w:val="20"/>
                <w:color w:val="auto"/>
              </w:rPr>
            </w:pPr>
            <w:r>
              <w:rPr>
                <w:rFonts w:ascii="Arial" w:cs="Arial" w:eastAsia="Arial" w:hAnsi="Arial"/>
                <w:sz w:val="15"/>
                <w:szCs w:val="15"/>
                <w:color w:val="auto"/>
              </w:rPr>
              <w:t>Committee of the Board to set theindependent auditors’</w:t>
            </w:r>
          </w:p>
        </w:tc>
        <w:tc>
          <w:tcPr>
            <w:tcW w:w="200" w:type="dxa"/>
            <w:vAlign w:val="bottom"/>
            <w:shd w:val="clear" w:color="auto" w:fill="E5E5E5"/>
          </w:tcPr>
          <w:p>
            <w:pPr>
              <w:spacing w:after="0"/>
              <w:rPr>
                <w:sz w:val="11"/>
                <w:szCs w:val="11"/>
                <w:color w:val="auto"/>
              </w:rPr>
            </w:pPr>
          </w:p>
        </w:tc>
        <w:tc>
          <w:tcPr>
            <w:tcW w:w="17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60" w:type="dxa"/>
            <w:vAlign w:val="bottom"/>
          </w:tcPr>
          <w:p>
            <w:pPr>
              <w:spacing w:after="0"/>
              <w:rPr>
                <w:sz w:val="6"/>
                <w:szCs w:val="6"/>
                <w:color w:val="auto"/>
              </w:rPr>
            </w:pPr>
          </w:p>
        </w:tc>
        <w:tc>
          <w:tcPr>
            <w:tcW w:w="2080" w:type="dxa"/>
            <w:vAlign w:val="bottom"/>
            <w:vMerge w:val="continue"/>
            <w:shd w:val="clear" w:color="auto" w:fill="E5E5E5"/>
          </w:tcPr>
          <w:p>
            <w:pPr>
              <w:spacing w:after="0"/>
              <w:rPr>
                <w:sz w:val="6"/>
                <w:szCs w:val="6"/>
                <w:color w:val="auto"/>
              </w:rPr>
            </w:pPr>
          </w:p>
        </w:tc>
        <w:tc>
          <w:tcPr>
            <w:tcW w:w="140" w:type="dxa"/>
            <w:vAlign w:val="bottom"/>
            <w:tcBorders>
              <w:right w:val="single" w:sz="8" w:color="auto"/>
            </w:tcBorders>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80" w:type="dxa"/>
            <w:vAlign w:val="bottom"/>
            <w:shd w:val="clear" w:color="auto" w:fill="E5E5E5"/>
          </w:tcPr>
          <w:p>
            <w:pPr>
              <w:spacing w:after="0"/>
              <w:rPr>
                <w:sz w:val="6"/>
                <w:szCs w:val="6"/>
                <w:color w:val="auto"/>
              </w:rPr>
            </w:pPr>
          </w:p>
        </w:tc>
        <w:tc>
          <w:tcPr>
            <w:tcW w:w="220" w:type="dxa"/>
            <w:vAlign w:val="bottom"/>
            <w:shd w:val="clear" w:color="auto" w:fill="E5E5E5"/>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184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remuneration</w:t>
            </w:r>
          </w:p>
        </w:tc>
        <w:tc>
          <w:tcPr>
            <w:tcW w:w="2720" w:type="dxa"/>
            <w:vAlign w:val="bottom"/>
            <w:shd w:val="clear" w:color="auto" w:fill="E5E5E5"/>
          </w:tcPr>
          <w:p>
            <w:pPr>
              <w:spacing w:after="0"/>
              <w:rPr>
                <w:sz w:val="6"/>
                <w:szCs w:val="6"/>
                <w:color w:val="auto"/>
              </w:rPr>
            </w:pPr>
          </w:p>
        </w:tc>
        <w:tc>
          <w:tcPr>
            <w:tcW w:w="200" w:type="dxa"/>
            <w:vAlign w:val="bottom"/>
            <w:shd w:val="clear" w:color="auto" w:fill="E5E5E5"/>
          </w:tcPr>
          <w:p>
            <w:pPr>
              <w:spacing w:after="0"/>
              <w:rPr>
                <w:sz w:val="6"/>
                <w:szCs w:val="6"/>
                <w:color w:val="auto"/>
              </w:rPr>
            </w:pPr>
          </w:p>
        </w:tc>
        <w:tc>
          <w:tcPr>
            <w:tcW w:w="1700" w:type="dxa"/>
            <w:vAlign w:val="bottom"/>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2080" w:type="dxa"/>
            <w:vAlign w:val="bottom"/>
            <w:tcBorders>
              <w:bottom w:val="single" w:sz="8" w:color="E5E5E5"/>
            </w:tcBorders>
            <w:vMerge w:val="restart"/>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being voted upon at</w:t>
            </w:r>
          </w:p>
        </w:tc>
        <w:tc>
          <w:tcPr>
            <w:tcW w:w="140" w:type="dxa"/>
            <w:vAlign w:val="bottom"/>
            <w:tcBorders>
              <w:bottom w:val="single" w:sz="8" w:color="E5E5E5"/>
              <w:right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12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1840" w:type="dxa"/>
            <w:vAlign w:val="bottom"/>
            <w:tcBorders>
              <w:bottom w:val="single" w:sz="8" w:color="auto"/>
            </w:tcBorders>
            <w:vMerge w:val="continue"/>
            <w:shd w:val="clear" w:color="auto" w:fill="E5E5E5"/>
          </w:tcPr>
          <w:p>
            <w:pPr>
              <w:spacing w:after="0"/>
              <w:rPr>
                <w:sz w:val="12"/>
                <w:szCs w:val="12"/>
                <w:color w:val="auto"/>
              </w:rPr>
            </w:pPr>
          </w:p>
        </w:tc>
        <w:tc>
          <w:tcPr>
            <w:tcW w:w="2720" w:type="dxa"/>
            <w:vAlign w:val="bottom"/>
            <w:tcBorders>
              <w:bottom w:val="single" w:sz="8" w:color="auto"/>
            </w:tcBorders>
            <w:shd w:val="clear" w:color="auto" w:fill="E5E5E5"/>
          </w:tcPr>
          <w:p>
            <w:pPr>
              <w:spacing w:after="0"/>
              <w:rPr>
                <w:sz w:val="12"/>
                <w:szCs w:val="12"/>
                <w:color w:val="auto"/>
              </w:rPr>
            </w:pPr>
          </w:p>
        </w:tc>
        <w:tc>
          <w:tcPr>
            <w:tcW w:w="200" w:type="dxa"/>
            <w:vAlign w:val="bottom"/>
            <w:tcBorders>
              <w:bottom w:val="single" w:sz="8" w:color="auto"/>
            </w:tcBorders>
            <w:shd w:val="clear" w:color="auto" w:fill="E5E5E5"/>
          </w:tcPr>
          <w:p>
            <w:pPr>
              <w:spacing w:after="0"/>
              <w:rPr>
                <w:sz w:val="12"/>
                <w:szCs w:val="12"/>
                <w:color w:val="auto"/>
              </w:rPr>
            </w:pPr>
          </w:p>
        </w:tc>
        <w:tc>
          <w:tcPr>
            <w:tcW w:w="170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2080" w:type="dxa"/>
            <w:vAlign w:val="bottom"/>
            <w:vMerge w:val="continue"/>
            <w:shd w:val="clear" w:color="auto" w:fill="E5E5E5"/>
          </w:tcPr>
          <w:p>
            <w:pPr>
              <w:spacing w:after="0"/>
              <w:rPr>
                <w:sz w:val="3"/>
                <w:szCs w:val="3"/>
                <w:color w:val="auto"/>
              </w:rPr>
            </w:pPr>
          </w:p>
        </w:tc>
        <w:tc>
          <w:tcPr>
            <w:tcW w:w="140" w:type="dxa"/>
            <w:vAlign w:val="bottom"/>
            <w:tcBorders>
              <w:right w:val="single" w:sz="8" w:color="auto"/>
            </w:tcBorders>
            <w:shd w:val="clear" w:color="auto" w:fill="E5E5E5"/>
          </w:tcPr>
          <w:p>
            <w:pPr>
              <w:spacing w:after="0"/>
              <w:rPr>
                <w:sz w:val="3"/>
                <w:szCs w:val="3"/>
                <w:color w:val="auto"/>
              </w:rPr>
            </w:pP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3"/>
                <w:szCs w:val="3"/>
                <w:color w:val="auto"/>
              </w:rPr>
            </w:pPr>
          </w:p>
        </w:tc>
        <w:tc>
          <w:tcPr>
            <w:tcW w:w="220" w:type="dxa"/>
            <w:vAlign w:val="bottom"/>
            <w:vMerge w:val="restart"/>
            <w:shd w:val="clear" w:color="auto" w:fill="E5E5E5"/>
          </w:tcPr>
          <w:p>
            <w:pPr>
              <w:ind w:left="20"/>
              <w:spacing w:after="0"/>
              <w:rPr>
                <w:sz w:val="20"/>
                <w:szCs w:val="20"/>
                <w:color w:val="auto"/>
              </w:rPr>
            </w:pPr>
            <w:r>
              <w:rPr>
                <w:rFonts w:ascii="Arial" w:cs="Arial" w:eastAsia="Arial" w:hAnsi="Arial"/>
                <w:sz w:val="16"/>
                <w:szCs w:val="16"/>
                <w:b w:val="1"/>
                <w:bCs w:val="1"/>
                <w:color w:val="auto"/>
              </w:rPr>
              <w:t>3.</w:t>
            </w: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4660" w:type="dxa"/>
            <w:vAlign w:val="bottom"/>
            <w:gridSpan w:val="3"/>
            <w:vMerge w:val="restart"/>
            <w:shd w:val="clear" w:color="auto" w:fill="E5E5E5"/>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Advisory non-binding vote to approve the Company’s executive</w:t>
            </w:r>
          </w:p>
        </w:tc>
        <w:tc>
          <w:tcPr>
            <w:tcW w:w="2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E5E5E5"/>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Majority of votes cast</w:t>
            </w: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660" w:type="dxa"/>
            <w:vAlign w:val="bottom"/>
          </w:tcPr>
          <w:p>
            <w:pPr>
              <w:spacing w:after="0"/>
              <w:rPr>
                <w:sz w:val="15"/>
                <w:szCs w:val="15"/>
                <w:color w:val="auto"/>
              </w:rPr>
            </w:pPr>
          </w:p>
        </w:tc>
        <w:tc>
          <w:tcPr>
            <w:tcW w:w="2080" w:type="dxa"/>
            <w:vAlign w:val="bottom"/>
            <w:shd w:val="clear" w:color="auto" w:fill="E5E5E5"/>
          </w:tcPr>
          <w:p>
            <w:pPr>
              <w:ind w:left="120"/>
              <w:spacing w:after="0" w:line="181" w:lineRule="exact"/>
              <w:rPr>
                <w:sz w:val="20"/>
                <w:szCs w:val="20"/>
                <w:color w:val="auto"/>
              </w:rPr>
            </w:pPr>
            <w:r>
              <w:rPr>
                <w:rFonts w:ascii="Arial" w:cs="Arial" w:eastAsia="Arial" w:hAnsi="Arial"/>
                <w:sz w:val="18"/>
                <w:szCs w:val="18"/>
                <w:b w:val="1"/>
                <w:bCs w:val="1"/>
                <w:color w:val="auto"/>
              </w:rPr>
              <w:t>the Annual General</w:t>
            </w:r>
          </w:p>
        </w:tc>
        <w:tc>
          <w:tcPr>
            <w:tcW w:w="140" w:type="dxa"/>
            <w:vAlign w:val="bottom"/>
            <w:tcBorders>
              <w:right w:val="single" w:sz="8" w:color="auto"/>
            </w:tcBorders>
            <w:shd w:val="clear" w:color="auto" w:fill="E5E5E5"/>
          </w:tcPr>
          <w:p>
            <w:pPr>
              <w:spacing w:after="0"/>
              <w:rPr>
                <w:sz w:val="15"/>
                <w:szCs w:val="15"/>
                <w:color w:val="auto"/>
              </w:rPr>
            </w:pPr>
          </w:p>
        </w:tc>
        <w:tc>
          <w:tcPr>
            <w:tcW w:w="100" w:type="dxa"/>
            <w:vAlign w:val="bottom"/>
            <w:vMerge w:val="continue"/>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vMerge w:val="continue"/>
            <w:shd w:val="clear" w:color="auto" w:fill="E5E5E5"/>
          </w:tcPr>
          <w:p>
            <w:pPr>
              <w:spacing w:after="0"/>
              <w:rPr>
                <w:sz w:val="15"/>
                <w:szCs w:val="15"/>
                <w:color w:val="auto"/>
              </w:rPr>
            </w:pPr>
          </w:p>
        </w:tc>
        <w:tc>
          <w:tcPr>
            <w:tcW w:w="120" w:type="dxa"/>
            <w:vAlign w:val="bottom"/>
            <w:vMerge w:val="continue"/>
            <w:shd w:val="clear" w:color="auto" w:fill="E5E5E5"/>
          </w:tcPr>
          <w:p>
            <w:pPr>
              <w:spacing w:after="0"/>
              <w:rPr>
                <w:sz w:val="15"/>
                <w:szCs w:val="15"/>
                <w:color w:val="auto"/>
              </w:rPr>
            </w:pPr>
          </w:p>
        </w:tc>
        <w:tc>
          <w:tcPr>
            <w:tcW w:w="4660" w:type="dxa"/>
            <w:vAlign w:val="bottom"/>
            <w:gridSpan w:val="3"/>
            <w:vMerge w:val="continue"/>
            <w:shd w:val="clear" w:color="auto" w:fill="E5E5E5"/>
          </w:tcPr>
          <w:p>
            <w:pPr>
              <w:spacing w:after="0"/>
              <w:rPr>
                <w:sz w:val="15"/>
                <w:szCs w:val="15"/>
                <w:color w:val="auto"/>
              </w:rPr>
            </w:pPr>
          </w:p>
        </w:tc>
        <w:tc>
          <w:tcPr>
            <w:tcW w:w="200" w:type="dxa"/>
            <w:vAlign w:val="bottom"/>
            <w:vMerge w:val="continue"/>
            <w:shd w:val="clear" w:color="auto" w:fill="E5E5E5"/>
          </w:tcPr>
          <w:p>
            <w:pPr>
              <w:spacing w:after="0"/>
              <w:rPr>
                <w:sz w:val="15"/>
                <w:szCs w:val="15"/>
                <w:color w:val="auto"/>
              </w:rPr>
            </w:pPr>
          </w:p>
        </w:tc>
        <w:tc>
          <w:tcPr>
            <w:tcW w:w="1700" w:type="dxa"/>
            <w:vAlign w:val="bottom"/>
            <w:vMerge w:val="continue"/>
            <w:shd w:val="clear" w:color="auto" w:fill="E5E5E5"/>
          </w:tcPr>
          <w:p>
            <w:pPr>
              <w:spacing w:after="0"/>
              <w:rPr>
                <w:sz w:val="15"/>
                <w:szCs w:val="15"/>
                <w:color w:val="auto"/>
              </w:rPr>
            </w:pPr>
          </w:p>
        </w:tc>
        <w:tc>
          <w:tcPr>
            <w:tcW w:w="100" w:type="dxa"/>
            <w:vAlign w:val="bottom"/>
            <w:vMerge w:val="continue"/>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80" w:type="dxa"/>
            <w:vAlign w:val="bottom"/>
            <w:tcBorders>
              <w:bottom w:val="single" w:sz="8" w:color="E5E5E5"/>
            </w:tcBorders>
            <w:shd w:val="clear" w:color="auto" w:fill="E5E5E5"/>
          </w:tcPr>
          <w:p>
            <w:pPr>
              <w:ind w:left="120"/>
              <w:spacing w:after="0" w:line="182" w:lineRule="exact"/>
              <w:rPr>
                <w:sz w:val="20"/>
                <w:szCs w:val="20"/>
                <w:color w:val="auto"/>
              </w:rPr>
            </w:pPr>
            <w:r>
              <w:rPr>
                <w:rFonts w:ascii="Arial" w:cs="Arial" w:eastAsia="Arial" w:hAnsi="Arial"/>
                <w:sz w:val="18"/>
                <w:szCs w:val="18"/>
                <w:b w:val="1"/>
                <w:bCs w:val="1"/>
                <w:color w:val="auto"/>
              </w:rPr>
              <w:t>Meeting?</w:t>
            </w:r>
          </w:p>
        </w:tc>
        <w:tc>
          <w:tcPr>
            <w:tcW w:w="140" w:type="dxa"/>
            <w:vAlign w:val="bottom"/>
            <w:tcBorders>
              <w:bottom w:val="single" w:sz="8" w:color="E5E5E5"/>
              <w:right w:val="single" w:sz="8" w:color="auto"/>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80" w:type="dxa"/>
            <w:vAlign w:val="bottom"/>
            <w:tcBorders>
              <w:bottom w:val="single" w:sz="8" w:color="auto"/>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1840" w:type="dxa"/>
            <w:vAlign w:val="bottom"/>
            <w:tcBorders>
              <w:bottom w:val="single" w:sz="8" w:color="auto"/>
            </w:tcBorders>
            <w:shd w:val="clear" w:color="auto" w:fill="E5E5E5"/>
          </w:tcPr>
          <w:p>
            <w:pPr>
              <w:spacing w:after="0" w:line="183" w:lineRule="exact"/>
              <w:rPr>
                <w:sz w:val="20"/>
                <w:szCs w:val="20"/>
                <w:color w:val="auto"/>
              </w:rPr>
            </w:pPr>
            <w:r>
              <w:rPr>
                <w:rFonts w:ascii="Arial" w:cs="Arial" w:eastAsia="Arial" w:hAnsi="Arial"/>
                <w:sz w:val="16"/>
                <w:szCs w:val="16"/>
                <w:color w:val="auto"/>
              </w:rPr>
              <w:t>compensation</w:t>
            </w:r>
          </w:p>
        </w:tc>
        <w:tc>
          <w:tcPr>
            <w:tcW w:w="2720" w:type="dxa"/>
            <w:vAlign w:val="bottom"/>
            <w:tcBorders>
              <w:bottom w:val="single" w:sz="8" w:color="auto"/>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1700" w:type="dxa"/>
            <w:vAlign w:val="bottom"/>
            <w:tcBorders>
              <w:bottom w:val="single" w:sz="8" w:color="auto"/>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08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ind w:left="20"/>
              <w:spacing w:after="0" w:line="182" w:lineRule="exact"/>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E5E5E5"/>
          </w:tcPr>
          <w:p>
            <w:pPr>
              <w:ind w:left="2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jc w:val="center"/>
              <w:spacing w:after="0" w:line="182" w:lineRule="exact"/>
              <w:rPr>
                <w:sz w:val="20"/>
                <w:szCs w:val="20"/>
                <w:color w:val="auto"/>
              </w:rPr>
            </w:pPr>
            <w:r>
              <w:rPr>
                <w:rFonts w:ascii="Arial" w:cs="Arial" w:eastAsia="Arial" w:hAnsi="Arial"/>
                <w:sz w:val="16"/>
                <w:szCs w:val="16"/>
                <w:color w:val="auto"/>
              </w:rPr>
              <w:t>​</w:t>
            </w:r>
          </w:p>
        </w:tc>
        <w:tc>
          <w:tcPr>
            <w:tcW w:w="4560" w:type="dxa"/>
            <w:vAlign w:val="bottom"/>
            <w:gridSpan w:val="2"/>
            <w:shd w:val="clear" w:color="auto" w:fill="E5E5E5"/>
          </w:tcPr>
          <w:p>
            <w:pPr>
              <w:spacing w:after="0" w:line="182" w:lineRule="exact"/>
              <w:rPr>
                <w:sz w:val="20"/>
                <w:szCs w:val="20"/>
                <w:color w:val="auto"/>
              </w:rPr>
            </w:pPr>
            <w:r>
              <w:rPr>
                <w:rFonts w:ascii="Arial" w:cs="Arial" w:eastAsia="Arial" w:hAnsi="Arial"/>
                <w:sz w:val="16"/>
                <w:szCs w:val="16"/>
                <w:color w:val="auto"/>
              </w:rPr>
              <w:t>Advisory non-binding vote on frequency of future advisory non-</w:t>
            </w:r>
          </w:p>
        </w:tc>
        <w:tc>
          <w:tcPr>
            <w:tcW w:w="200" w:type="dxa"/>
            <w:vAlign w:val="bottom"/>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1700" w:type="dxa"/>
            <w:vAlign w:val="bottom"/>
            <w:shd w:val="clear" w:color="auto" w:fill="E5E5E5"/>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Majority of votes cast</w:t>
            </w:r>
          </w:p>
        </w:tc>
        <w:tc>
          <w:tcPr>
            <w:tcW w:w="100" w:type="dxa"/>
            <w:vAlign w:val="bottom"/>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560" w:type="dxa"/>
            <w:vAlign w:val="bottom"/>
            <w:gridSpan w:val="2"/>
            <w:shd w:val="clear" w:color="auto" w:fill="E5E5E5"/>
          </w:tcPr>
          <w:p>
            <w:pPr>
              <w:spacing w:after="0" w:line="175" w:lineRule="exact"/>
              <w:rPr>
                <w:sz w:val="20"/>
                <w:szCs w:val="20"/>
                <w:color w:val="auto"/>
              </w:rPr>
            </w:pPr>
            <w:r>
              <w:rPr>
                <w:rFonts w:ascii="Arial" w:cs="Arial" w:eastAsia="Arial" w:hAnsi="Arial"/>
                <w:sz w:val="16"/>
                <w:szCs w:val="16"/>
                <w:color w:val="auto"/>
              </w:rPr>
              <w:t>binding votes toapprove the Company’s executive</w:t>
            </w:r>
          </w:p>
        </w:tc>
        <w:tc>
          <w:tcPr>
            <w:tcW w:w="200" w:type="dxa"/>
            <w:vAlign w:val="bottom"/>
            <w:shd w:val="clear" w:color="auto" w:fill="E5E5E5"/>
          </w:tcPr>
          <w:p>
            <w:pPr>
              <w:spacing w:after="0"/>
              <w:rPr>
                <w:sz w:val="15"/>
                <w:szCs w:val="15"/>
                <w:color w:val="auto"/>
              </w:rPr>
            </w:pPr>
          </w:p>
        </w:tc>
        <w:tc>
          <w:tcPr>
            <w:tcW w:w="17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20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E5E5E5"/>
              <w:right w:val="single" w:sz="8" w:color="auto"/>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E5E5E5"/>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18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compensation</w:t>
            </w:r>
          </w:p>
        </w:tc>
        <w:tc>
          <w:tcPr>
            <w:tcW w:w="272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spacing w:after="0"/>
              <w:rPr>
                <w:sz w:val="21"/>
                <w:szCs w:val="21"/>
                <w:color w:val="auto"/>
              </w:rPr>
            </w:pPr>
          </w:p>
        </w:tc>
        <w:tc>
          <w:tcPr>
            <w:tcW w:w="170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080" w:type="dxa"/>
            <w:vAlign w:val="bottom"/>
            <w:tcBorders>
              <w:top w:val="single" w:sz="8" w:color="E5E5E5"/>
            </w:tcBorders>
            <w:shd w:val="clear" w:color="auto" w:fill="E5E5E5"/>
          </w:tcPr>
          <w:p>
            <w:pPr>
              <w:spacing w:after="0"/>
              <w:rPr>
                <w:sz w:val="15"/>
                <w:szCs w:val="15"/>
                <w:color w:val="auto"/>
              </w:rPr>
            </w:pPr>
          </w:p>
        </w:tc>
        <w:tc>
          <w:tcPr>
            <w:tcW w:w="140" w:type="dxa"/>
            <w:vAlign w:val="bottom"/>
            <w:tcBorders>
              <w:top w:val="single" w:sz="8" w:color="E5E5E5"/>
              <w:right w:val="single" w:sz="8" w:color="auto"/>
            </w:tcBorders>
            <w:shd w:val="clear" w:color="auto" w:fill="E5E5E5"/>
          </w:tcPr>
          <w:p>
            <w:pPr>
              <w:spacing w:after="0"/>
              <w:rPr>
                <w:sz w:val="15"/>
                <w:szCs w:val="15"/>
                <w:color w:val="auto"/>
              </w:rPr>
            </w:pPr>
          </w:p>
        </w:tc>
        <w:tc>
          <w:tcPr>
            <w:tcW w:w="1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5E5E5"/>
          </w:tcPr>
          <w:p>
            <w:pPr>
              <w:spacing w:after="0"/>
              <w:rPr>
                <w:sz w:val="15"/>
                <w:szCs w:val="15"/>
                <w:color w:val="auto"/>
              </w:rPr>
            </w:pPr>
          </w:p>
        </w:tc>
        <w:tc>
          <w:tcPr>
            <w:tcW w:w="220" w:type="dxa"/>
            <w:vAlign w:val="bottom"/>
            <w:tcBorders>
              <w:top w:val="single" w:sz="8" w:color="auto"/>
            </w:tcBorders>
            <w:shd w:val="clear" w:color="auto" w:fill="E5E5E5"/>
          </w:tcPr>
          <w:p>
            <w:pPr>
              <w:ind w:left="20"/>
              <w:spacing w:after="0" w:line="182" w:lineRule="exact"/>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auto"/>
            </w:tcBorders>
            <w:shd w:val="clear" w:color="auto" w:fill="E5E5E5"/>
          </w:tcPr>
          <w:p>
            <w:pPr>
              <w:ind w:left="20"/>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E5E5E5"/>
          </w:tcPr>
          <w:p>
            <w:pPr>
              <w:jc w:val="center"/>
              <w:spacing w:after="0" w:line="182" w:lineRule="exact"/>
              <w:rPr>
                <w:sz w:val="20"/>
                <w:szCs w:val="20"/>
                <w:color w:val="auto"/>
              </w:rPr>
            </w:pPr>
            <w:r>
              <w:rPr>
                <w:rFonts w:ascii="Arial" w:cs="Arial" w:eastAsia="Arial" w:hAnsi="Arial"/>
                <w:sz w:val="16"/>
                <w:szCs w:val="16"/>
                <w:color w:val="auto"/>
              </w:rPr>
              <w:t>​</w:t>
            </w:r>
          </w:p>
        </w:tc>
        <w:tc>
          <w:tcPr>
            <w:tcW w:w="4560" w:type="dxa"/>
            <w:vAlign w:val="bottom"/>
            <w:tcBorders>
              <w:top w:val="single" w:sz="8" w:color="auto"/>
            </w:tcBorders>
            <w:gridSpan w:val="2"/>
            <w:shd w:val="clear" w:color="auto" w:fill="E5E5E5"/>
          </w:tcPr>
          <w:p>
            <w:pPr>
              <w:spacing w:after="0" w:line="182" w:lineRule="exact"/>
              <w:rPr>
                <w:sz w:val="20"/>
                <w:szCs w:val="20"/>
                <w:color w:val="auto"/>
              </w:rPr>
            </w:pPr>
            <w:r>
              <w:rPr>
                <w:rFonts w:ascii="Arial" w:cs="Arial" w:eastAsia="Arial" w:hAnsi="Arial"/>
                <w:sz w:val="16"/>
                <w:szCs w:val="16"/>
                <w:color w:val="auto"/>
              </w:rPr>
              <w:t>Reduction of Company Capital (Special Resolution)</w:t>
            </w:r>
          </w:p>
        </w:tc>
        <w:tc>
          <w:tcPr>
            <w:tcW w:w="2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Three-fourths (75%)</w:t>
            </w:r>
          </w:p>
        </w:tc>
        <w:tc>
          <w:tcPr>
            <w:tcW w:w="1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20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E5E5E5"/>
              <w:right w:val="single" w:sz="8" w:color="auto"/>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E5E5E5"/>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1840" w:type="dxa"/>
            <w:vAlign w:val="bottom"/>
            <w:tcBorders>
              <w:bottom w:val="single" w:sz="8" w:color="E5E5E5"/>
            </w:tcBorders>
            <w:shd w:val="clear" w:color="auto" w:fill="E5E5E5"/>
          </w:tcPr>
          <w:p>
            <w:pPr>
              <w:spacing w:after="0"/>
              <w:rPr>
                <w:sz w:val="21"/>
                <w:szCs w:val="21"/>
                <w:color w:val="auto"/>
              </w:rPr>
            </w:pPr>
          </w:p>
        </w:tc>
        <w:tc>
          <w:tcPr>
            <w:tcW w:w="272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spacing w:after="0"/>
              <w:rPr>
                <w:sz w:val="21"/>
                <w:szCs w:val="21"/>
                <w:color w:val="auto"/>
              </w:rPr>
            </w:pPr>
          </w:p>
        </w:tc>
        <w:tc>
          <w:tcPr>
            <w:tcW w:w="1700" w:type="dxa"/>
            <w:vAlign w:val="bottom"/>
            <w:tcBorders>
              <w:bottom w:val="single" w:sz="8" w:color="E5E5E5"/>
            </w:tcBorders>
            <w:shd w:val="clear" w:color="auto" w:fill="E5E5E5"/>
          </w:tcPr>
          <w:p>
            <w:pPr>
              <w:ind w:left="400"/>
              <w:spacing w:after="0"/>
              <w:rPr>
                <w:sz w:val="20"/>
                <w:szCs w:val="20"/>
                <w:color w:val="auto"/>
              </w:rPr>
            </w:pPr>
            <w:r>
              <w:rPr>
                <w:rFonts w:ascii="Arial" w:cs="Arial" w:eastAsia="Arial" w:hAnsi="Arial"/>
                <w:sz w:val="16"/>
                <w:szCs w:val="16"/>
                <w:color w:val="auto"/>
              </w:rPr>
              <w:t>of votes cast</w:t>
            </w:r>
          </w:p>
        </w:tc>
        <w:tc>
          <w:tcPr>
            <w:tcW w:w="100" w:type="dxa"/>
            <w:vAlign w:val="bottom"/>
            <w:tcBorders>
              <w:bottom w:val="single" w:sz="8" w:color="E5E5E5"/>
            </w:tcBorders>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080" w:type="dxa"/>
            <w:vAlign w:val="bottom"/>
            <w:tcBorders>
              <w:top w:val="single" w:sz="8" w:color="E5E5E5"/>
            </w:tcBorders>
            <w:shd w:val="clear" w:color="auto" w:fill="E5E5E5"/>
          </w:tcPr>
          <w:p>
            <w:pPr>
              <w:spacing w:after="0"/>
              <w:rPr>
                <w:sz w:val="15"/>
                <w:szCs w:val="15"/>
                <w:color w:val="auto"/>
              </w:rPr>
            </w:pPr>
          </w:p>
        </w:tc>
        <w:tc>
          <w:tcPr>
            <w:tcW w:w="140" w:type="dxa"/>
            <w:vAlign w:val="bottom"/>
            <w:tcBorders>
              <w:top w:val="single" w:sz="8" w:color="E5E5E5"/>
              <w:right w:val="single" w:sz="8" w:color="auto"/>
            </w:tcBorders>
            <w:shd w:val="clear" w:color="auto" w:fill="E5E5E5"/>
          </w:tcPr>
          <w:p>
            <w:pPr>
              <w:spacing w:after="0"/>
              <w:rPr>
                <w:sz w:val="15"/>
                <w:szCs w:val="15"/>
                <w:color w:val="auto"/>
              </w:rPr>
            </w:pPr>
          </w:p>
        </w:tc>
        <w:tc>
          <w:tcPr>
            <w:tcW w:w="1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5E5E5"/>
          </w:tcPr>
          <w:p>
            <w:pPr>
              <w:spacing w:after="0"/>
              <w:rPr>
                <w:sz w:val="15"/>
                <w:szCs w:val="15"/>
                <w:color w:val="auto"/>
              </w:rPr>
            </w:pPr>
          </w:p>
        </w:tc>
        <w:tc>
          <w:tcPr>
            <w:tcW w:w="220" w:type="dxa"/>
            <w:vAlign w:val="bottom"/>
            <w:tcBorders>
              <w:top w:val="single" w:sz="8" w:color="auto"/>
            </w:tcBorders>
            <w:shd w:val="clear" w:color="auto" w:fill="E5E5E5"/>
          </w:tcPr>
          <w:p>
            <w:pPr>
              <w:ind w:left="20"/>
              <w:spacing w:after="0" w:line="182" w:lineRule="exact"/>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auto"/>
            </w:tcBorders>
            <w:shd w:val="clear" w:color="auto" w:fill="E5E5E5"/>
          </w:tcPr>
          <w:p>
            <w:pPr>
              <w:ind w:left="20"/>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E5E5E5"/>
          </w:tcPr>
          <w:p>
            <w:pPr>
              <w:jc w:val="center"/>
              <w:spacing w:after="0" w:line="182" w:lineRule="exact"/>
              <w:rPr>
                <w:sz w:val="20"/>
                <w:szCs w:val="20"/>
                <w:color w:val="auto"/>
              </w:rPr>
            </w:pPr>
            <w:r>
              <w:rPr>
                <w:rFonts w:ascii="Arial" w:cs="Arial" w:eastAsia="Arial" w:hAnsi="Arial"/>
                <w:sz w:val="16"/>
                <w:szCs w:val="16"/>
                <w:color w:val="auto"/>
              </w:rPr>
              <w:t>​</w:t>
            </w:r>
          </w:p>
        </w:tc>
        <w:tc>
          <w:tcPr>
            <w:tcW w:w="4560" w:type="dxa"/>
            <w:vAlign w:val="bottom"/>
            <w:tcBorders>
              <w:top w:val="single" w:sz="8" w:color="auto"/>
            </w:tcBorders>
            <w:gridSpan w:val="2"/>
            <w:shd w:val="clear" w:color="auto" w:fill="E5E5E5"/>
          </w:tcPr>
          <w:p>
            <w:pPr>
              <w:spacing w:after="0" w:line="182" w:lineRule="exact"/>
              <w:rPr>
                <w:sz w:val="20"/>
                <w:szCs w:val="20"/>
                <w:color w:val="auto"/>
              </w:rPr>
            </w:pPr>
            <w:r>
              <w:rPr>
                <w:rFonts w:ascii="Arial" w:cs="Arial" w:eastAsia="Arial" w:hAnsi="Arial"/>
                <w:sz w:val="16"/>
                <w:szCs w:val="16"/>
                <w:color w:val="auto"/>
              </w:rPr>
              <w:t>Amendment to the Company’s Articles of Association (Special</w:t>
            </w:r>
          </w:p>
        </w:tc>
        <w:tc>
          <w:tcPr>
            <w:tcW w:w="2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Three-fourths (75%)</w:t>
            </w:r>
          </w:p>
        </w:tc>
        <w:tc>
          <w:tcPr>
            <w:tcW w:w="100" w:type="dxa"/>
            <w:vAlign w:val="bottom"/>
            <w:tcBorders>
              <w:top w:val="single" w:sz="8" w:color="auto"/>
            </w:tcBorders>
            <w:shd w:val="clear" w:color="auto" w:fill="E5E5E5"/>
          </w:tcPr>
          <w:p>
            <w:pPr>
              <w:spacing w:after="0" w:line="182"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20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E5E5E5"/>
              <w:right w:val="single" w:sz="8" w:color="auto"/>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E5E5E5"/>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18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Resolution)</w:t>
            </w:r>
          </w:p>
        </w:tc>
        <w:tc>
          <w:tcPr>
            <w:tcW w:w="272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tcBorders>
            <w:shd w:val="clear" w:color="auto" w:fill="E5E5E5"/>
          </w:tcPr>
          <w:p>
            <w:pPr>
              <w:spacing w:after="0"/>
              <w:rPr>
                <w:sz w:val="21"/>
                <w:szCs w:val="21"/>
                <w:color w:val="auto"/>
              </w:rPr>
            </w:pPr>
          </w:p>
        </w:tc>
        <w:tc>
          <w:tcPr>
            <w:tcW w:w="1700" w:type="dxa"/>
            <w:vAlign w:val="bottom"/>
            <w:tcBorders>
              <w:bottom w:val="single" w:sz="8" w:color="E5E5E5"/>
            </w:tcBorders>
            <w:shd w:val="clear" w:color="auto" w:fill="E5E5E5"/>
          </w:tcPr>
          <w:p>
            <w:pPr>
              <w:ind w:left="400"/>
              <w:spacing w:after="0"/>
              <w:rPr>
                <w:sz w:val="20"/>
                <w:szCs w:val="20"/>
                <w:color w:val="auto"/>
              </w:rPr>
            </w:pPr>
            <w:r>
              <w:rPr>
                <w:rFonts w:ascii="Arial" w:cs="Arial" w:eastAsia="Arial" w:hAnsi="Arial"/>
                <w:sz w:val="16"/>
                <w:szCs w:val="16"/>
                <w:color w:val="auto"/>
              </w:rPr>
              <w:t>of votes cast</w:t>
            </w:r>
          </w:p>
        </w:tc>
        <w:tc>
          <w:tcPr>
            <w:tcW w:w="100" w:type="dxa"/>
            <w:vAlign w:val="bottom"/>
            <w:tcBorders>
              <w:bottom w:val="single" w:sz="8" w:color="E5E5E5"/>
            </w:tcBorders>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08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Why am I being asked</w:t>
            </w:r>
          </w:p>
        </w:tc>
        <w:tc>
          <w:tcPr>
            <w:tcW w:w="140" w:type="dxa"/>
            <w:vAlign w:val="bottom"/>
            <w:tcBorders>
              <w:top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5"/>
                <w:szCs w:val="15"/>
                <w:color w:val="auto"/>
              </w:rPr>
            </w:pPr>
          </w:p>
        </w:tc>
        <w:tc>
          <w:tcPr>
            <w:tcW w:w="6900" w:type="dxa"/>
            <w:vAlign w:val="bottom"/>
            <w:tcBorders>
              <w:top w:val="single" w:sz="8" w:color="auto"/>
            </w:tcBorders>
            <w:gridSpan w:val="7"/>
          </w:tcPr>
          <w:p>
            <w:pPr>
              <w:ind w:left="20"/>
              <w:spacing w:after="0" w:line="183" w:lineRule="exact"/>
              <w:rPr>
                <w:sz w:val="20"/>
                <w:szCs w:val="20"/>
                <w:color w:val="auto"/>
              </w:rPr>
            </w:pPr>
            <w:r>
              <w:rPr>
                <w:rFonts w:ascii="Arial" w:cs="Arial" w:eastAsia="Arial" w:hAnsi="Arial"/>
                <w:sz w:val="16"/>
                <w:szCs w:val="16"/>
                <w:color w:val="auto"/>
              </w:rPr>
              <w:t>Under Irish law, in general, dividends and distributions to shareholders, as well as share</w:t>
            </w:r>
          </w:p>
        </w:tc>
        <w:tc>
          <w:tcPr>
            <w:tcW w:w="1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0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w w:val="99"/>
              </w:rPr>
              <w:t>to approve a reduction</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repurchases and redemptions and spin-off or split-off transactions, may only be made from</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60" w:type="dxa"/>
            <w:vAlign w:val="bottom"/>
          </w:tcPr>
          <w:p>
            <w:pPr>
              <w:spacing w:after="0"/>
              <w:rPr>
                <w:sz w:val="15"/>
                <w:szCs w:val="15"/>
                <w:color w:val="auto"/>
              </w:rPr>
            </w:pPr>
          </w:p>
        </w:tc>
        <w:tc>
          <w:tcPr>
            <w:tcW w:w="2080" w:type="dxa"/>
            <w:vAlign w:val="bottom"/>
          </w:tcPr>
          <w:p>
            <w:pPr>
              <w:ind w:left="120"/>
              <w:spacing w:after="0" w:line="177" w:lineRule="exact"/>
              <w:rPr>
                <w:sz w:val="20"/>
                <w:szCs w:val="20"/>
                <w:color w:val="auto"/>
              </w:rPr>
            </w:pPr>
            <w:r>
              <w:rPr>
                <w:rFonts w:ascii="Arial" w:cs="Arial" w:eastAsia="Arial" w:hAnsi="Arial"/>
                <w:sz w:val="18"/>
                <w:szCs w:val="18"/>
                <w:b w:val="1"/>
                <w:bCs w:val="1"/>
                <w:color w:val="auto"/>
              </w:rPr>
              <w:t>of the Company</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8" w:lineRule="exact"/>
              <w:rPr>
                <w:sz w:val="20"/>
                <w:szCs w:val="20"/>
                <w:color w:val="auto"/>
              </w:rPr>
            </w:pPr>
            <w:r>
              <w:rPr>
                <w:rFonts w:ascii="Arial" w:cs="Arial" w:eastAsia="Arial" w:hAnsi="Arial"/>
                <w:sz w:val="16"/>
                <w:szCs w:val="16"/>
                <w:color w:val="auto"/>
              </w:rPr>
              <w:t>“distributable reserves” in Keenova’s unconsolidated balance sheet prepared in accordance with</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Capital?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the Irish Companies Act 2014 (the “Irish Companies Act”). It is common for Irish companies to</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00" w:type="dxa"/>
            <w:vAlign w:val="bottom"/>
            <w:gridSpan w:val="7"/>
          </w:tcPr>
          <w:p>
            <w:pPr>
              <w:ind w:left="20"/>
              <w:spacing w:after="0" w:line="121" w:lineRule="exact"/>
              <w:rPr>
                <w:sz w:val="20"/>
                <w:szCs w:val="20"/>
                <w:color w:val="auto"/>
              </w:rPr>
            </w:pPr>
            <w:r>
              <w:rPr>
                <w:rFonts w:ascii="Arial" w:cs="Arial" w:eastAsia="Arial" w:hAnsi="Arial"/>
                <w:sz w:val="14"/>
                <w:szCs w:val="14"/>
                <w:color w:val="auto"/>
              </w:rPr>
              <w:t>seek shareholder approval to create such additional “distributable reserves”, in particular to allow</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for flexibility in the Irish company’s future allocations of capital, should such flexibility be needed.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Distributable reserves generally relate to the accumulated realized profits less accumulated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realized losses and includes reserves created by way of a reduction of a capital account of the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Company (including its capital redemption reserve account or share premium account).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Keenova shareholders are therefore being asked to approve a special resolution to create</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distributable reserves of Keenova (through a reduction of the entire amount (or such lesser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amount as the directors of Keenova or the Irish High Court may determine) standing to the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credit of Keenova’s share premium account and redemption reserve account of Keenova as at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the date of this Proxy Statement (or such lesser amount as the directors of Keenova or the Irish</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High Court may determine)) in order to create additional distributable reserves to give Keenova</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greater flexibility with respect to allocating its capital. As of the date of this Proxy Statement,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gridSpan w:val="5"/>
          </w:tcPr>
          <w:p>
            <w:pPr>
              <w:ind w:left="20"/>
              <w:spacing w:after="0"/>
              <w:rPr>
                <w:sz w:val="20"/>
                <w:szCs w:val="20"/>
                <w:color w:val="auto"/>
              </w:rPr>
            </w:pPr>
            <w:r>
              <w:rPr>
                <w:rFonts w:ascii="Arial" w:cs="Arial" w:eastAsia="Arial" w:hAnsi="Arial"/>
                <w:sz w:val="16"/>
                <w:szCs w:val="16"/>
                <w:color w:val="auto"/>
              </w:rPr>
              <w:t>Keenova has no present plan for any such capital allocation activity.</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The creation of distributable reserves of Keenova as proposed requires confirmation by the Irish</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High Court. Until the Irish High Court approval is obtained, the ability of Keenova to pay</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dividends or to repurchase or redeem any shares will be limited to (i) its currently available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distributable reserves and (ii) any further additional distributable reserves created as a result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the profitable operation of Keenova. In addition, although Keenova is not aware of any reason</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why the Irish High Court would not approve the creation of distributable reserves, the issuance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of the required order is a matter for the discretion of the Irish High Court and there is no</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gridSpan w:val="5"/>
          </w:tcPr>
          <w:p>
            <w:pPr>
              <w:ind w:left="20"/>
              <w:spacing w:after="0"/>
              <w:rPr>
                <w:sz w:val="20"/>
                <w:szCs w:val="20"/>
                <w:color w:val="auto"/>
              </w:rPr>
            </w:pPr>
            <w:r>
              <w:rPr>
                <w:rFonts w:ascii="Arial" w:cs="Arial" w:eastAsia="Arial" w:hAnsi="Arial"/>
                <w:sz w:val="16"/>
                <w:szCs w:val="16"/>
                <w:color w:val="auto"/>
              </w:rPr>
              <w:t>guarantee of such confirmation from the Irish High Court.</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In addition, even if Keenova shareholders approve this proposal and the Irish High Court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approves the creation of distributable reserves, there is no guarantee that dividends, share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repurchases and/or share redemptions, spin-off or split-off transactions or other forms of</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distributions to shareholders will occur. Any such transactions will depend on prevailing market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gridSpan w:val="7"/>
          </w:tcPr>
          <w:p>
            <w:pPr>
              <w:ind w:left="20"/>
              <w:spacing w:after="0"/>
              <w:rPr>
                <w:sz w:val="20"/>
                <w:szCs w:val="20"/>
                <w:color w:val="auto"/>
              </w:rPr>
            </w:pPr>
            <w:r>
              <w:rPr>
                <w:rFonts w:ascii="Arial" w:cs="Arial" w:eastAsia="Arial" w:hAnsi="Arial"/>
                <w:sz w:val="16"/>
                <w:szCs w:val="16"/>
                <w:color w:val="auto"/>
              </w:rPr>
              <w:t>conditions, Keenova’s liquidity requirements and other factors and any dividends or distributions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will be made only at the discretion of the Board. As of the date of this Proxy Statement,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Keenova does not anticipate making any such share repurchases or dividends or distributions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4"/>
          </w:tcPr>
          <w:p>
            <w:pPr>
              <w:ind w:left="20"/>
              <w:spacing w:after="0"/>
              <w:rPr>
                <w:sz w:val="20"/>
                <w:szCs w:val="20"/>
                <w:color w:val="auto"/>
              </w:rPr>
            </w:pPr>
            <w:r>
              <w:rPr>
                <w:rFonts w:ascii="Arial" w:cs="Arial" w:eastAsia="Arial" w:hAnsi="Arial"/>
                <w:sz w:val="16"/>
                <w:szCs w:val="16"/>
                <w:color w:val="auto"/>
              </w:rPr>
              <w:t>for the foreseeable future.</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6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8"/>
        </w:trPr>
        <w:tc>
          <w:tcPr>
            <w:tcW w:w="66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3"/>
                <w:szCs w:val="13"/>
                <w:color w:val="323232"/>
              </w:rPr>
              <w:t>​6  |  2026 Proxy Statement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ind w:left="1780"/>
              <w:spacing w:after="0"/>
              <w:rPr>
                <w:sz w:val="20"/>
                <w:szCs w:val="20"/>
                <w:color w:val="auto"/>
              </w:rPr>
            </w:pPr>
            <w:r>
              <w:rPr>
                <w:rFonts w:ascii="Arial" w:cs="Arial" w:eastAsia="Arial" w:hAnsi="Arial"/>
                <w:sz w:val="13"/>
                <w:szCs w:val="13"/>
                <w:color w:val="323232"/>
              </w:rPr>
              <w:t>​</w:t>
            </w:r>
          </w:p>
        </w:tc>
        <w:tc>
          <w:tcPr>
            <w:tcW w:w="2720" w:type="dxa"/>
            <w:vAlign w:val="bottom"/>
          </w:tcPr>
          <w:p>
            <w:pPr>
              <w:ind w:left="40"/>
              <w:spacing w:after="0"/>
              <w:rPr>
                <w:sz w:val="20"/>
                <w:szCs w:val="20"/>
                <w:color w:val="auto"/>
              </w:rPr>
            </w:pPr>
            <w:r>
              <w:rPr>
                <w:rFonts w:ascii="Arial" w:cs="Arial" w:eastAsia="Arial" w:hAnsi="Arial"/>
                <w:sz w:val="13"/>
                <w:szCs w:val="13"/>
                <w:color w:val="323232"/>
              </w:rPr>
              <w:t>​</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323232"/>
              </w:rPr>
              <w:t>​</w:t>
            </w:r>
          </w:p>
        </w:tc>
        <w:tc>
          <w:tcPr>
            <w:tcW w:w="0" w:type="dxa"/>
            <w:vAlign w:val="bottom"/>
          </w:tcPr>
          <w:p>
            <w:pPr>
              <w:spacing w:after="0"/>
              <w:rPr>
                <w:sz w:val="1"/>
                <w:szCs w:val="1"/>
                <w:color w:val="auto"/>
              </w:rPr>
            </w:pPr>
          </w:p>
        </w:tc>
      </w:tr>
      <w:tr>
        <w:trPr>
          <w:trHeight w:val="410"/>
        </w:trPr>
        <w:tc>
          <w:tcPr>
            <w:tcW w:w="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-334010</wp:posOffset>
            </wp:positionV>
            <wp:extent cx="44577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7020"/>
        <w:spacing w:after="0"/>
        <w:rPr>
          <w:sz w:val="20"/>
          <w:szCs w:val="20"/>
          <w:color w:val="auto"/>
        </w:rPr>
      </w:pPr>
      <w:r>
        <w:rPr>
          <w:rFonts w:ascii="Arial" w:cs="Arial" w:eastAsia="Arial" w:hAnsi="Arial"/>
          <w:sz w:val="13"/>
          <w:szCs w:val="13"/>
          <w:color w:val="323232"/>
        </w:rPr>
        <w:t>Questions and Answers About Our Annual Meeting</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6"/>
                <w:szCs w:val="16"/>
                <w:color w:val="auto"/>
              </w:rPr>
              <w:t>​ ​</w:t>
            </w:r>
          </w:p>
        </w:tc>
        <w:tc>
          <w:tcPr>
            <w:tcW w:w="2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As required under Irish law, the resolution in respect of Proposal 5 is a special resolution that</w:t>
            </w: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requires the affirmative vote of the holders of at least three-fourths (75%) of the votes cast by</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the holders of Keenova ordinary shares present and voting, either in person or by proxy, to</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approve the resolution.</w:t>
            </w:r>
          </w:p>
        </w:tc>
        <w:tc>
          <w:tcPr>
            <w:tcW w:w="1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shd w:val="clear" w:color="auto" w:fill="E5E5E5"/>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Why am I being asked</w:t>
            </w:r>
          </w:p>
        </w:tc>
        <w:tc>
          <w:tcPr>
            <w:tcW w:w="220" w:type="dxa"/>
            <w:vAlign w:val="bottom"/>
            <w:tcBorders>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At present, all of Keenova’s shares are held directly in registered form, i.e. the names of the</w:t>
            </w:r>
          </w:p>
        </w:tc>
        <w:tc>
          <w:tcPr>
            <w:tcW w:w="160" w:type="dxa"/>
            <w:vAlign w:val="bottom"/>
            <w:shd w:val="clear" w:color="auto" w:fill="E5E5E5"/>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to approve an</w:t>
            </w:r>
          </w:p>
        </w:tc>
        <w:tc>
          <w:tcPr>
            <w:tcW w:w="22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holders are directly recorded on the Company’s register of members as owners of their</w:t>
            </w:r>
          </w:p>
        </w:tc>
        <w:tc>
          <w:tcPr>
            <w:tcW w:w="16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amendment to the</w:t>
            </w:r>
          </w:p>
        </w:tc>
        <w:tc>
          <w:tcPr>
            <w:tcW w:w="2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respective shares. In the event of a listing of Keenova’s shares on a U.S. stock exchange,</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Company’s Articles of</w:t>
            </w:r>
          </w:p>
        </w:tc>
        <w:tc>
          <w:tcPr>
            <w:tcW w:w="22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Keenova shares must be eligible for trading and settlement within the Depositary Trading</w:t>
            </w:r>
          </w:p>
        </w:tc>
        <w:tc>
          <w:tcPr>
            <w:tcW w:w="16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2120" w:type="dxa"/>
            <w:vAlign w:val="bottom"/>
            <w:vMerge w:val="restart"/>
            <w:shd w:val="clear" w:color="auto" w:fill="E5E5E5"/>
          </w:tcPr>
          <w:p>
            <w:pPr>
              <w:ind w:left="120"/>
              <w:spacing w:after="0"/>
              <w:rPr>
                <w:sz w:val="20"/>
                <w:szCs w:val="20"/>
                <w:color w:val="auto"/>
              </w:rPr>
            </w:pPr>
            <w:r>
              <w:rPr>
                <w:rFonts w:ascii="Arial" w:cs="Arial" w:eastAsia="Arial" w:hAnsi="Arial"/>
                <w:sz w:val="18"/>
                <w:szCs w:val="18"/>
                <w:b w:val="1"/>
                <w:bCs w:val="1"/>
                <w:color w:val="auto"/>
              </w:rPr>
              <w:t>Association?</w:t>
            </w:r>
          </w:p>
        </w:tc>
        <w:tc>
          <w:tcPr>
            <w:tcW w:w="220" w:type="dxa"/>
            <w:vAlign w:val="bottom"/>
            <w:tcBorders>
              <w:right w:val="single" w:sz="8" w:color="auto"/>
            </w:tcBorders>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780" w:type="dxa"/>
            <w:vAlign w:val="bottom"/>
            <w:gridSpan w:val="2"/>
            <w:shd w:val="clear" w:color="auto" w:fill="E5E5E5"/>
          </w:tcPr>
          <w:p>
            <w:pPr>
              <w:ind w:left="80"/>
              <w:spacing w:after="0" w:line="121" w:lineRule="exact"/>
              <w:rPr>
                <w:sz w:val="20"/>
                <w:szCs w:val="20"/>
                <w:color w:val="auto"/>
              </w:rPr>
            </w:pPr>
            <w:r>
              <w:rPr>
                <w:rFonts w:ascii="Arial" w:cs="Arial" w:eastAsia="Arial" w:hAnsi="Arial"/>
                <w:sz w:val="14"/>
                <w:szCs w:val="14"/>
                <w:color w:val="auto"/>
              </w:rPr>
              <w:t>Company (“DTC”) clearing and settlement system used for equity trading in the US. The DTC</w:t>
            </w:r>
          </w:p>
        </w:tc>
        <w:tc>
          <w:tcPr>
            <w:tcW w:w="160" w:type="dxa"/>
            <w:vAlign w:val="bottom"/>
            <w:shd w:val="clear" w:color="auto" w:fill="E5E5E5"/>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20" w:type="dxa"/>
            <w:vAlign w:val="bottom"/>
            <w:vMerge w:val="continue"/>
            <w:shd w:val="clear" w:color="auto" w:fill="E5E5E5"/>
          </w:tcPr>
          <w:p>
            <w:pPr>
              <w:spacing w:after="0"/>
              <w:rPr>
                <w:sz w:val="12"/>
                <w:szCs w:val="12"/>
                <w:color w:val="auto"/>
              </w:rPr>
            </w:pPr>
          </w:p>
        </w:tc>
        <w:tc>
          <w:tcPr>
            <w:tcW w:w="220" w:type="dxa"/>
            <w:vAlign w:val="bottom"/>
            <w:tcBorders>
              <w:right w:val="single" w:sz="8" w:color="auto"/>
            </w:tcBorders>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78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clearing system is an intermediated securities settlement system, where legal title to shares is</w:t>
            </w:r>
          </w:p>
        </w:tc>
        <w:tc>
          <w:tcPr>
            <w:tcW w:w="160" w:type="dxa"/>
            <w:vAlign w:val="bottom"/>
            <w:shd w:val="clear" w:color="auto" w:fill="E5E5E5"/>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120" w:type="dxa"/>
            <w:vAlign w:val="bottom"/>
            <w:shd w:val="clear" w:color="auto" w:fill="E5E5E5"/>
          </w:tcPr>
          <w:p>
            <w:pPr>
              <w:spacing w:after="0"/>
              <w:rPr>
                <w:sz w:val="3"/>
                <w:szCs w:val="3"/>
                <w:color w:val="auto"/>
              </w:rPr>
            </w:pPr>
          </w:p>
        </w:tc>
        <w:tc>
          <w:tcPr>
            <w:tcW w:w="220" w:type="dxa"/>
            <w:vAlign w:val="bottom"/>
            <w:tcBorders>
              <w:right w:val="single" w:sz="8" w:color="auto"/>
            </w:tcBorders>
            <w:shd w:val="clear" w:color="auto" w:fill="E5E5E5"/>
          </w:tcPr>
          <w:p>
            <w:pPr>
              <w:spacing w:after="0"/>
              <w:rPr>
                <w:sz w:val="3"/>
                <w:szCs w:val="3"/>
                <w:color w:val="auto"/>
              </w:rPr>
            </w:pPr>
          </w:p>
        </w:tc>
        <w:tc>
          <w:tcPr>
            <w:tcW w:w="120" w:type="dxa"/>
            <w:vAlign w:val="bottom"/>
            <w:shd w:val="clear" w:color="auto" w:fill="E5E5E5"/>
          </w:tcPr>
          <w:p>
            <w:pPr>
              <w:spacing w:after="0"/>
              <w:rPr>
                <w:sz w:val="3"/>
                <w:szCs w:val="3"/>
                <w:color w:val="auto"/>
              </w:rPr>
            </w:pPr>
          </w:p>
        </w:tc>
        <w:tc>
          <w:tcPr>
            <w:tcW w:w="6780" w:type="dxa"/>
            <w:vAlign w:val="bottom"/>
            <w:gridSpan w:val="2"/>
            <w:vMerge w:val="continue"/>
            <w:shd w:val="clear" w:color="auto" w:fill="E5E5E5"/>
          </w:tcPr>
          <w:p>
            <w:pPr>
              <w:spacing w:after="0"/>
              <w:rPr>
                <w:sz w:val="3"/>
                <w:szCs w:val="3"/>
                <w:color w:val="auto"/>
              </w:rPr>
            </w:pPr>
          </w:p>
        </w:tc>
        <w:tc>
          <w:tcPr>
            <w:tcW w:w="160" w:type="dxa"/>
            <w:vAlign w:val="bottom"/>
            <w:shd w:val="clear" w:color="auto" w:fill="E5E5E5"/>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held by a nominee of DTC (Cede &amp; Co.) on the Company’s register of members and trades in</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underlying shares are recorded electronically through DTC’s book entry system, rather than by</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shd w:val="clear" w:color="auto" w:fill="E5E5E5"/>
          </w:tcPr>
          <w:p>
            <w:pPr>
              <w:spacing w:after="0"/>
              <w:rPr>
                <w:sz w:val="16"/>
                <w:szCs w:val="16"/>
                <w:color w:val="auto"/>
              </w:rPr>
            </w:pPr>
          </w:p>
        </w:tc>
        <w:tc>
          <w:tcPr>
            <w:tcW w:w="2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updating the Company’s register of members. Accordingly, in order to prepare for any future</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U.S. listing, the Board is proposing to amend the Company’s Articles of Association to permit</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Keenova shares to be eligible for deposit in the DTC clearing system and to take the</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shd w:val="clear" w:color="auto" w:fill="E5E5E5"/>
          </w:tcPr>
          <w:p>
            <w:pPr>
              <w:spacing w:after="0"/>
              <w:rPr>
                <w:sz w:val="16"/>
                <w:szCs w:val="16"/>
                <w:color w:val="auto"/>
              </w:rPr>
            </w:pPr>
          </w:p>
        </w:tc>
        <w:tc>
          <w:tcPr>
            <w:tcW w:w="2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necessary steps to implement this transition at the election of the Board, including providing</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for the automatic transfer at the effective time of any such U.S. listing of legal title to Keenova</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shares to Cede &amp; Co. in its capacity as nominee for DTC (without any change to the</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20" w:type="dxa"/>
            <w:vAlign w:val="bottom"/>
            <w:shd w:val="clear" w:color="auto" w:fill="E5E5E5"/>
          </w:tcPr>
          <w:p>
            <w:pPr>
              <w:spacing w:after="0"/>
              <w:rPr>
                <w:sz w:val="18"/>
                <w:szCs w:val="18"/>
                <w:color w:val="auto"/>
              </w:rPr>
            </w:pPr>
          </w:p>
        </w:tc>
        <w:tc>
          <w:tcPr>
            <w:tcW w:w="22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20" w:type="dxa"/>
            <w:vAlign w:val="bottom"/>
            <w:shd w:val="clear" w:color="auto" w:fill="E5E5E5"/>
          </w:tcPr>
          <w:p>
            <w:pPr>
              <w:ind w:left="80"/>
              <w:spacing w:after="0"/>
              <w:rPr>
                <w:sz w:val="20"/>
                <w:szCs w:val="20"/>
                <w:color w:val="auto"/>
              </w:rPr>
            </w:pPr>
            <w:r>
              <w:rPr>
                <w:rFonts w:ascii="Arial" w:cs="Arial" w:eastAsia="Arial" w:hAnsi="Arial"/>
                <w:sz w:val="16"/>
                <w:szCs w:val="16"/>
                <w:color w:val="auto"/>
              </w:rPr>
              <w:t>underlying beneficial ownership of the relevant Keenova shares).</w:t>
            </w:r>
          </w:p>
        </w:tc>
        <w:tc>
          <w:tcPr>
            <w:tcW w:w="15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2120" w:type="dxa"/>
            <w:vAlign w:val="bottom"/>
            <w:shd w:val="clear" w:color="auto" w:fill="E5E5E5"/>
          </w:tcPr>
          <w:p>
            <w:pPr>
              <w:spacing w:after="0"/>
              <w:rPr>
                <w:sz w:val="22"/>
                <w:szCs w:val="22"/>
                <w:color w:val="auto"/>
              </w:rPr>
            </w:pPr>
          </w:p>
        </w:tc>
        <w:tc>
          <w:tcPr>
            <w:tcW w:w="220" w:type="dxa"/>
            <w:vAlign w:val="bottom"/>
            <w:tcBorders>
              <w:right w:val="single" w:sz="8" w:color="auto"/>
            </w:tcBorders>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The proposed amendment to the Articles of Association will also authorize the Board to make</w:t>
            </w:r>
          </w:p>
        </w:tc>
        <w:tc>
          <w:tcPr>
            <w:tcW w:w="160" w:type="dxa"/>
            <w:vAlign w:val="bottom"/>
            <w:shd w:val="clear" w:color="auto" w:fill="E5E5E5"/>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such arrangements as are necessary, desirable or appropriate to ensure that following the</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shd w:val="clear" w:color="auto" w:fill="E5E5E5"/>
          </w:tcPr>
          <w:p>
            <w:pPr>
              <w:spacing w:after="0"/>
              <w:rPr>
                <w:sz w:val="16"/>
                <w:szCs w:val="16"/>
                <w:color w:val="auto"/>
              </w:rPr>
            </w:pPr>
          </w:p>
        </w:tc>
        <w:tc>
          <w:tcPr>
            <w:tcW w:w="2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effective time of any future U.S. listing, any restricted shares in the Company that are</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incapable or ineligible for admission to the DTC clearing and settlement system are held in a</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manner that is compliant in the context of any such U.S. listing. Amending the Company’s</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shd w:val="clear" w:color="auto" w:fill="E5E5E5"/>
          </w:tcPr>
          <w:p>
            <w:pPr>
              <w:spacing w:after="0"/>
              <w:rPr>
                <w:sz w:val="16"/>
                <w:szCs w:val="16"/>
                <w:color w:val="auto"/>
              </w:rPr>
            </w:pPr>
          </w:p>
        </w:tc>
        <w:tc>
          <w:tcPr>
            <w:tcW w:w="2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Articles of Association is, in the Board’s view, the most practical way to enable the Company</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to facilitate a U.S. listing in the future. The amendment proposed to the Company’s Articles of</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20" w:type="dxa"/>
            <w:vAlign w:val="bottom"/>
            <w:shd w:val="clear" w:color="auto" w:fill="E5E5E5"/>
          </w:tcPr>
          <w:p>
            <w:pPr>
              <w:spacing w:after="0"/>
              <w:rPr>
                <w:sz w:val="18"/>
                <w:szCs w:val="18"/>
                <w:color w:val="auto"/>
              </w:rPr>
            </w:pPr>
          </w:p>
        </w:tc>
        <w:tc>
          <w:tcPr>
            <w:tcW w:w="220" w:type="dxa"/>
            <w:vAlign w:val="bottom"/>
            <w:tcBorders>
              <w:right w:val="single" w:sz="8" w:color="auto"/>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20" w:type="dxa"/>
            <w:vAlign w:val="bottom"/>
            <w:shd w:val="clear" w:color="auto" w:fill="E5E5E5"/>
          </w:tcPr>
          <w:p>
            <w:pPr>
              <w:ind w:left="80"/>
              <w:spacing w:after="0"/>
              <w:rPr>
                <w:sz w:val="20"/>
                <w:szCs w:val="20"/>
                <w:color w:val="auto"/>
              </w:rPr>
            </w:pPr>
            <w:r>
              <w:rPr>
                <w:rFonts w:ascii="Arial" w:cs="Arial" w:eastAsia="Arial" w:hAnsi="Arial"/>
                <w:sz w:val="16"/>
                <w:szCs w:val="16"/>
                <w:color w:val="auto"/>
              </w:rPr>
              <w:t>Association will be of no effect until immediately prior to a U.S. listing.</w:t>
            </w:r>
          </w:p>
        </w:tc>
        <w:tc>
          <w:tcPr>
            <w:tcW w:w="15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2120" w:type="dxa"/>
            <w:vAlign w:val="bottom"/>
            <w:shd w:val="clear" w:color="auto" w:fill="E5E5E5"/>
          </w:tcPr>
          <w:p>
            <w:pPr>
              <w:spacing w:after="0"/>
              <w:rPr>
                <w:sz w:val="22"/>
                <w:szCs w:val="22"/>
                <w:color w:val="auto"/>
              </w:rPr>
            </w:pPr>
          </w:p>
        </w:tc>
        <w:tc>
          <w:tcPr>
            <w:tcW w:w="220" w:type="dxa"/>
            <w:vAlign w:val="bottom"/>
            <w:tcBorders>
              <w:right w:val="single" w:sz="8" w:color="auto"/>
            </w:tcBorders>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Even if Keenova shareholders approve the proposed amendment to the Company’s Articles of</w:t>
            </w:r>
          </w:p>
        </w:tc>
        <w:tc>
          <w:tcPr>
            <w:tcW w:w="160" w:type="dxa"/>
            <w:vAlign w:val="bottom"/>
            <w:shd w:val="clear" w:color="auto" w:fill="E5E5E5"/>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Association, there is no guarantee that a U.S. listing will occur. Any decision to proceed with a</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U.S. listing will be subject to the appropriate Board decision at the relevant time, as well as to</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2120" w:type="dxa"/>
            <w:vAlign w:val="bottom"/>
            <w:tcBorders>
              <w:bottom w:val="single" w:sz="8" w:color="E5E5E5"/>
            </w:tcBorders>
            <w:shd w:val="clear" w:color="auto" w:fill="E5E5E5"/>
          </w:tcPr>
          <w:p>
            <w:pPr>
              <w:spacing w:after="0"/>
              <w:rPr>
                <w:sz w:val="22"/>
                <w:szCs w:val="22"/>
                <w:color w:val="auto"/>
              </w:rPr>
            </w:pPr>
          </w:p>
        </w:tc>
        <w:tc>
          <w:tcPr>
            <w:tcW w:w="220" w:type="dxa"/>
            <w:vAlign w:val="bottom"/>
            <w:tcBorders>
              <w:bottom w:val="single" w:sz="8" w:color="E5E5E5"/>
              <w:right w:val="single" w:sz="8" w:color="auto"/>
            </w:tcBorders>
            <w:shd w:val="clear" w:color="auto" w:fill="E5E5E5"/>
          </w:tcPr>
          <w:p>
            <w:pPr>
              <w:spacing w:after="0"/>
              <w:rPr>
                <w:sz w:val="22"/>
                <w:szCs w:val="22"/>
                <w:color w:val="auto"/>
              </w:rPr>
            </w:pPr>
          </w:p>
        </w:tc>
        <w:tc>
          <w:tcPr>
            <w:tcW w:w="120" w:type="dxa"/>
            <w:vAlign w:val="bottom"/>
            <w:tcBorders>
              <w:bottom w:val="single" w:sz="8" w:color="E5E5E5"/>
            </w:tcBorders>
            <w:shd w:val="clear" w:color="auto" w:fill="E5E5E5"/>
          </w:tcPr>
          <w:p>
            <w:pPr>
              <w:spacing w:after="0"/>
              <w:rPr>
                <w:sz w:val="22"/>
                <w:szCs w:val="22"/>
                <w:color w:val="auto"/>
              </w:rPr>
            </w:pPr>
          </w:p>
        </w:tc>
        <w:tc>
          <w:tcPr>
            <w:tcW w:w="52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obtaining relevant regulatory and stock exchange clearances.</w:t>
            </w:r>
          </w:p>
        </w:tc>
        <w:tc>
          <w:tcPr>
            <w:tcW w:w="156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E5E5E5"/>
            </w:tcBorders>
            <w:shd w:val="clear" w:color="auto" w:fill="E5E5E5"/>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1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What does the</w:t>
            </w:r>
          </w:p>
        </w:tc>
        <w:tc>
          <w:tcPr>
            <w:tcW w:w="220" w:type="dxa"/>
            <w:vAlign w:val="bottom"/>
            <w:tcBorders>
              <w:top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780" w:type="dxa"/>
            <w:vAlign w:val="bottom"/>
            <w:tcBorders>
              <w:top w:val="single" w:sz="8" w:color="auto"/>
            </w:tcBorders>
            <w:gridSpan w:val="2"/>
          </w:tcPr>
          <w:p>
            <w:pPr>
              <w:ind w:left="80"/>
              <w:spacing w:after="0" w:line="183" w:lineRule="exact"/>
              <w:rPr>
                <w:sz w:val="20"/>
                <w:szCs w:val="20"/>
                <w:color w:val="auto"/>
              </w:rPr>
            </w:pPr>
            <w:r>
              <w:rPr>
                <w:rFonts w:ascii="Arial" w:cs="Arial" w:eastAsia="Arial" w:hAnsi="Arial"/>
                <w:sz w:val="16"/>
                <w:szCs w:val="16"/>
                <w:color w:val="auto"/>
              </w:rPr>
              <w:t>The effect of the amendment to the Company’s Articles of Association is that immediately prior</w:t>
            </w:r>
          </w:p>
        </w:tc>
        <w:tc>
          <w:tcPr>
            <w:tcW w:w="160" w:type="dxa"/>
            <w:vAlign w:val="bottom"/>
            <w:tcBorders>
              <w:top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amendment to the</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to or upon a U.S. listing, legal title to Keenova shares will be transferred to Cede &amp; Co. (in its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Company’s Articles of</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capacity as nominee for DTC) to be held on behalf of DTC eligible participants nominated by</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Association mean for</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the Board for that purpose (“Designated DTC Participant(s)”), who will hold all the Keenova</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2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my shares?</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780" w:type="dxa"/>
            <w:vAlign w:val="bottom"/>
            <w:gridSpan w:val="2"/>
          </w:tcPr>
          <w:p>
            <w:pPr>
              <w:ind w:left="80"/>
              <w:spacing w:after="0" w:line="121" w:lineRule="exact"/>
              <w:rPr>
                <w:sz w:val="20"/>
                <w:szCs w:val="20"/>
                <w:color w:val="auto"/>
              </w:rPr>
            </w:pPr>
            <w:r>
              <w:rPr>
                <w:rFonts w:ascii="Arial" w:cs="Arial" w:eastAsia="Arial" w:hAnsi="Arial"/>
                <w:sz w:val="14"/>
                <w:szCs w:val="14"/>
                <w:color w:val="auto"/>
              </w:rPr>
              <w:t>shares on behalf of the registered holders as at the record date for a U.S. listing (the “Original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780" w:type="dxa"/>
            <w:vAlign w:val="bottom"/>
            <w:gridSpan w:val="2"/>
            <w:vMerge w:val="restart"/>
          </w:tcPr>
          <w:p>
            <w:pPr>
              <w:ind w:left="80"/>
              <w:spacing w:after="0"/>
              <w:rPr>
                <w:sz w:val="20"/>
                <w:szCs w:val="20"/>
                <w:color w:val="auto"/>
              </w:rPr>
            </w:pPr>
            <w:r>
              <w:rPr>
                <w:rFonts w:ascii="Arial" w:cs="Arial" w:eastAsia="Arial" w:hAnsi="Arial"/>
                <w:sz w:val="16"/>
                <w:szCs w:val="16"/>
                <w:color w:val="auto"/>
              </w:rPr>
              <w:t>Holders”), subject to the interests of the underlying beneficial owner of such shares. The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7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transfer involves a change in legal title only and it does not affect an Original Holder’s (or</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underlying beneficial owners’ (if any)) beneficial ownership of their shares in any way. Prior to</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a US listing, holders of Keenova shares will be entitled to elect to have their interests in</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Keenova shares transferred to a bank, broker or nominee who is a participant in DTC selected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by that holder, or to elect to retain their Keenova shares directly in “registered form”, in each</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case by delivering a specified instruction to the Company (or such agent as the Company may</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color w:val="auto"/>
              </w:rPr>
              <w:t>designate) as described in Proposal 6 below.</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Following a U.S. listing, the Company may grant a further election period of up to 6 months (or</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such other time period as the Directors determine is appropriate) (the “Post-Listing Election</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Period”) during which time, Original Holders whose interests are held by a Designated DTC</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Participant may elect to (i) have their interests in Keenova shares transferred to a bank, broker</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or nominee who is a participant in DTC selected by that holder, or (ii) transfer their Keenova</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shares into registered form to be held in their own name on the Company’s register of</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members. If no election is made by the expiry of the Post-Listing Election Period, shares held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by a Designated DTC Participant on behalf of such holders will be transferred into the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color w:val="auto"/>
              </w:rPr>
              <w:t>registered name of the Original Holder to which such shares related.</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120" w:type="dxa"/>
            <w:vAlign w:val="bottom"/>
            <w:shd w:val="clear" w:color="auto" w:fill="E5E5E5"/>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How are abstentions</w:t>
            </w:r>
          </w:p>
        </w:tc>
        <w:tc>
          <w:tcPr>
            <w:tcW w:w="220" w:type="dxa"/>
            <w:vAlign w:val="bottom"/>
            <w:tcBorders>
              <w:right w:val="single" w:sz="8" w:color="auto"/>
            </w:tcBorders>
            <w:shd w:val="clear" w:color="auto" w:fill="E5E5E5"/>
          </w:tcPr>
          <w:p>
            <w:pPr>
              <w:ind w:left="10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6780" w:type="dxa"/>
            <w:vAlign w:val="bottom"/>
            <w:gridSpan w:val="2"/>
            <w:shd w:val="clear" w:color="auto" w:fill="E5E5E5"/>
          </w:tcPr>
          <w:p>
            <w:pPr>
              <w:ind w:left="80"/>
              <w:spacing w:after="0" w:line="183" w:lineRule="exact"/>
              <w:rPr>
                <w:sz w:val="20"/>
                <w:szCs w:val="20"/>
                <w:color w:val="auto"/>
              </w:rPr>
            </w:pPr>
            <w:r>
              <w:rPr>
                <w:rFonts w:ascii="Arial" w:cs="Arial" w:eastAsia="Arial" w:hAnsi="Arial"/>
                <w:sz w:val="16"/>
                <w:szCs w:val="16"/>
                <w:color w:val="auto"/>
              </w:rPr>
              <w:t>Abstentions and broker non-votes are considered present for purposes of determining the</w:t>
            </w:r>
          </w:p>
        </w:tc>
        <w:tc>
          <w:tcPr>
            <w:tcW w:w="1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2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and broker non-votes</w:t>
            </w:r>
          </w:p>
        </w:tc>
        <w:tc>
          <w:tcPr>
            <w:tcW w:w="22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presence of a quorum. Abstentions and broker non-votes will not be considered votes properly</w:t>
            </w:r>
          </w:p>
        </w:tc>
        <w:tc>
          <w:tcPr>
            <w:tcW w:w="16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2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treated?</w:t>
            </w:r>
          </w:p>
        </w:tc>
        <w:tc>
          <w:tcPr>
            <w:tcW w:w="22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cast at the Annual General Meeting pursuant to our memorandum (“Memorandum”) and</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20" w:type="dxa"/>
            <w:vAlign w:val="bottom"/>
            <w:shd w:val="clear" w:color="auto" w:fill="E5E5E5"/>
          </w:tcPr>
          <w:p>
            <w:pPr>
              <w:spacing w:after="0"/>
              <w:rPr>
                <w:sz w:val="12"/>
                <w:szCs w:val="12"/>
                <w:color w:val="auto"/>
              </w:rPr>
            </w:pPr>
          </w:p>
        </w:tc>
        <w:tc>
          <w:tcPr>
            <w:tcW w:w="220" w:type="dxa"/>
            <w:vAlign w:val="bottom"/>
            <w:tcBorders>
              <w:right w:val="single" w:sz="8" w:color="auto"/>
            </w:tcBorders>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780" w:type="dxa"/>
            <w:vAlign w:val="bottom"/>
            <w:gridSpan w:val="2"/>
            <w:shd w:val="clear" w:color="auto" w:fill="E5E5E5"/>
          </w:tcPr>
          <w:p>
            <w:pPr>
              <w:ind w:left="80"/>
              <w:spacing w:after="0" w:line="148" w:lineRule="exact"/>
              <w:rPr>
                <w:sz w:val="20"/>
                <w:szCs w:val="20"/>
                <w:color w:val="auto"/>
              </w:rPr>
            </w:pPr>
            <w:r>
              <w:rPr>
                <w:rFonts w:ascii="Arial" w:cs="Arial" w:eastAsia="Arial" w:hAnsi="Arial"/>
                <w:sz w:val="16"/>
                <w:szCs w:val="16"/>
                <w:color w:val="auto"/>
              </w:rPr>
              <w:t>Articles of Association. Because the approval of all of the proposals is based on the votes</w:t>
            </w:r>
          </w:p>
        </w:tc>
        <w:tc>
          <w:tcPr>
            <w:tcW w:w="160" w:type="dxa"/>
            <w:vAlign w:val="bottom"/>
            <w:shd w:val="clear" w:color="auto" w:fill="E5E5E5"/>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20" w:type="dxa"/>
            <w:vAlign w:val="bottom"/>
            <w:shd w:val="clear" w:color="auto" w:fill="E5E5E5"/>
          </w:tcPr>
          <w:p>
            <w:pPr>
              <w:spacing w:after="0"/>
              <w:rPr>
                <w:sz w:val="15"/>
                <w:szCs w:val="15"/>
                <w:color w:val="auto"/>
              </w:rPr>
            </w:pPr>
          </w:p>
        </w:tc>
        <w:tc>
          <w:tcPr>
            <w:tcW w:w="22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properly cast at the Annual General Meeting, abstentions and broker non-votes will not have</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60" w:type="dxa"/>
            <w:vAlign w:val="bottom"/>
          </w:tcPr>
          <w:p>
            <w:pPr>
              <w:spacing w:after="0"/>
              <w:rPr>
                <w:sz w:val="21"/>
                <w:szCs w:val="21"/>
                <w:color w:val="auto"/>
              </w:rPr>
            </w:pPr>
          </w:p>
        </w:tc>
        <w:tc>
          <w:tcPr>
            <w:tcW w:w="212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E5E5E5"/>
              <w:right w:val="single" w:sz="8" w:color="auto"/>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52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any effect on the outcome of voting on these proposals under Irish law.</w:t>
            </w:r>
          </w:p>
        </w:tc>
        <w:tc>
          <w:tcPr>
            <w:tcW w:w="15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6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3"/>
                <w:szCs w:val="13"/>
                <w:color w:val="323232"/>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ind w:left="2120"/>
              <w:spacing w:after="0"/>
              <w:rPr>
                <w:sz w:val="20"/>
                <w:szCs w:val="20"/>
                <w:color w:val="auto"/>
              </w:rPr>
            </w:pPr>
            <w:r>
              <w:rPr>
                <w:rFonts w:ascii="Arial" w:cs="Arial" w:eastAsia="Arial" w:hAnsi="Arial"/>
                <w:sz w:val="13"/>
                <w:szCs w:val="13"/>
                <w:color w:val="323232"/>
              </w:rPr>
              <w:t>​ ​</w:t>
            </w:r>
          </w:p>
        </w:tc>
        <w:tc>
          <w:tcPr>
            <w:tcW w:w="2380" w:type="dxa"/>
            <w:vAlign w:val="bottom"/>
            <w:gridSpan w:val="3"/>
          </w:tcPr>
          <w:p>
            <w:pPr>
              <w:ind w:left="140"/>
              <w:spacing w:after="0"/>
              <w:rPr>
                <w:sz w:val="20"/>
                <w:szCs w:val="20"/>
                <w:color w:val="auto"/>
              </w:rPr>
            </w:pPr>
            <w:r>
              <w:rPr>
                <w:rFonts w:ascii="Arial" w:cs="Arial" w:eastAsia="Arial" w:hAnsi="Arial"/>
                <w:sz w:val="13"/>
                <w:szCs w:val="13"/>
                <w:color w:val="323232"/>
              </w:rPr>
              <w:t>2026 Proxy Statement  |  7</w:t>
            </w:r>
            <w:r>
              <w:rPr>
                <w:rFonts w:ascii="Arial" w:cs="Arial" w:eastAsia="Arial" w:hAnsi="Arial"/>
                <w:sz w:val="26"/>
                <w:szCs w:val="26"/>
                <w:color w:val="323232"/>
                <w:vertAlign w:val="subscript"/>
              </w:rPr>
              <w:t>​</w:t>
            </w:r>
          </w:p>
        </w:tc>
        <w:tc>
          <w:tcPr>
            <w:tcW w:w="0" w:type="dxa"/>
            <w:vAlign w:val="bottom"/>
          </w:tcPr>
          <w:p>
            <w:pPr>
              <w:spacing w:after="0"/>
              <w:rPr>
                <w:sz w:val="1"/>
                <w:szCs w:val="1"/>
                <w:color w:val="auto"/>
              </w:rPr>
            </w:pPr>
          </w:p>
        </w:tc>
      </w:tr>
      <w:tr>
        <w:trPr>
          <w:trHeight w:val="383"/>
        </w:trPr>
        <w:tc>
          <w:tcPr>
            <w:tcW w:w="6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-334010</wp:posOffset>
            </wp:positionV>
            <wp:extent cx="44577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Questions and Answers About Our Annual Meeting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66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8"/>
                <w:szCs w:val="18"/>
                <w:b w:val="1"/>
                <w:bCs w:val="1"/>
                <w:color w:val="auto"/>
              </w:rPr>
              <w:t xml:space="preserve"> How do I attend the</w:t>
            </w:r>
          </w:p>
        </w:tc>
        <w:tc>
          <w:tcPr>
            <w:tcW w:w="2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340" w:type="dxa"/>
            <w:vAlign w:val="bottom"/>
          </w:tcPr>
          <w:p>
            <w:pPr>
              <w:ind w:left="80"/>
              <w:spacing w:after="0"/>
              <w:rPr>
                <w:sz w:val="20"/>
                <w:szCs w:val="20"/>
                <w:color w:val="auto"/>
              </w:rPr>
            </w:pPr>
            <w:r>
              <w:rPr>
                <w:rFonts w:ascii="Arial" w:cs="Arial" w:eastAsia="Arial" w:hAnsi="Arial"/>
                <w:sz w:val="16"/>
                <w:szCs w:val="16"/>
                <w:color w:val="auto"/>
              </w:rPr>
              <w:t>The Annual General Meeting will be held at the offices of Arthur Cox LLP, Ten Earlsfort</w:t>
            </w:r>
          </w:p>
        </w:tc>
        <w:tc>
          <w:tcPr>
            <w:tcW w:w="44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8"/>
                <w:szCs w:val="18"/>
                <w:b w:val="1"/>
                <w:bCs w:val="1"/>
                <w:color w:val="auto"/>
              </w:rPr>
              <w:t>Annual General</w:t>
            </w: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rPr>
              <w:t>Terrace, Dublin 2, D02 T380, Ireland on Tuesday, June 2, 2026.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140" w:type="dxa"/>
            <w:vAlign w:val="bottom"/>
          </w:tcPr>
          <w:p>
            <w:pPr>
              <w:ind w:left="120"/>
              <w:spacing w:after="0"/>
              <w:rPr>
                <w:sz w:val="20"/>
                <w:szCs w:val="20"/>
                <w:color w:val="auto"/>
              </w:rPr>
            </w:pPr>
            <w:r>
              <w:rPr>
                <w:rFonts w:ascii="Arial" w:cs="Arial" w:eastAsia="Arial" w:hAnsi="Arial"/>
                <w:sz w:val="18"/>
                <w:szCs w:val="18"/>
                <w:b w:val="1"/>
                <w:bCs w:val="1"/>
                <w:color w:val="auto"/>
              </w:rPr>
              <w:t>Meeting?</w:t>
            </w: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340" w:type="dxa"/>
            <w:vAlign w:val="bottom"/>
          </w:tcPr>
          <w:p>
            <w:pPr>
              <w:ind w:left="80"/>
              <w:spacing w:after="0"/>
              <w:rPr>
                <w:sz w:val="20"/>
                <w:szCs w:val="20"/>
                <w:color w:val="auto"/>
              </w:rPr>
            </w:pPr>
            <w:r>
              <w:rPr>
                <w:rFonts w:ascii="Arial" w:cs="Arial" w:eastAsia="Arial" w:hAnsi="Arial"/>
                <w:sz w:val="16"/>
                <w:szCs w:val="16"/>
                <w:i w:val="1"/>
                <w:iCs w:val="1"/>
                <w:color w:val="auto"/>
              </w:rPr>
              <w:t xml:space="preserve">Shareholders of Record. </w:t>
            </w:r>
            <w:r>
              <w:rPr>
                <w:rFonts w:ascii="Arial" w:cs="Arial" w:eastAsia="Arial" w:hAnsi="Arial"/>
                <w:sz w:val="16"/>
                <w:szCs w:val="16"/>
                <w:color w:val="auto"/>
              </w:rPr>
              <w:t>For admission to the Annual General Meeting, shareholders of</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record should bring picture identification to the Registered Shareholders check-in area, where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ownership will be verified. If you would like someone to attend on your behalf, please contact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rPr>
              <w:t>our Corporate Secretary prior to the meeting.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i w:val="1"/>
                <w:iCs w:val="1"/>
                <w:color w:val="auto"/>
              </w:rPr>
              <w:t xml:space="preserve">Beneficial Owners of Shares Held in “Street Name.” </w:t>
            </w:r>
            <w:r>
              <w:rPr>
                <w:rFonts w:ascii="Arial" w:cs="Arial" w:eastAsia="Arial" w:hAnsi="Arial"/>
                <w:sz w:val="16"/>
                <w:szCs w:val="16"/>
                <w:color w:val="auto"/>
              </w:rPr>
              <w:t>Those who have beneficial ownership of</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ordinary shares held by a bank, brokerage firm or other similar organization should come to</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the Beneficial Owners check-in area. To be admitted, beneficial owners must bring picture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identification, as well as proof from their banks or brokers (i.e., a legal proxy) that they owned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our ordinary shares on March 23, 2026, the record date for the Annual General Meeting.​</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Registration will begin at 12:00 p.m., local time, and the Annual General Meeting will begin at</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12:30 p.m., local time. For directions to the Annual General Meeting, please call +353 1 696</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rPr>
              <w:t>0000.​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140" w:type="dxa"/>
            <w:vAlign w:val="bottom"/>
            <w:shd w:val="clear" w:color="auto" w:fill="E5E5E5"/>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How will voting on any</w:t>
            </w:r>
          </w:p>
        </w:tc>
        <w:tc>
          <w:tcPr>
            <w:tcW w:w="200" w:type="dxa"/>
            <w:vAlign w:val="bottom"/>
            <w:tcBorders>
              <w:right w:val="single" w:sz="8" w:color="auto"/>
            </w:tcBorders>
            <w:shd w:val="clear" w:color="auto" w:fill="E5E5E5"/>
          </w:tcPr>
          <w:p>
            <w:pPr>
              <w:ind w:left="8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6780" w:type="dxa"/>
            <w:vAlign w:val="bottom"/>
            <w:gridSpan w:val="2"/>
            <w:shd w:val="clear" w:color="auto" w:fill="E5E5E5"/>
          </w:tcPr>
          <w:p>
            <w:pPr>
              <w:ind w:left="80"/>
              <w:spacing w:after="0" w:line="183" w:lineRule="exact"/>
              <w:rPr>
                <w:sz w:val="20"/>
                <w:szCs w:val="20"/>
                <w:color w:val="auto"/>
              </w:rPr>
            </w:pPr>
            <w:r>
              <w:rPr>
                <w:rFonts w:ascii="Arial" w:cs="Arial" w:eastAsia="Arial" w:hAnsi="Arial"/>
                <w:sz w:val="16"/>
                <w:szCs w:val="16"/>
                <w:color w:val="auto"/>
              </w:rPr>
              <w:t>Other than matters incident to the conduct of the Annual General Meeting, we do not know of</w:t>
            </w:r>
          </w:p>
        </w:tc>
        <w:tc>
          <w:tcPr>
            <w:tcW w:w="1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4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other business be</w:t>
            </w:r>
          </w:p>
        </w:tc>
        <w:tc>
          <w:tcPr>
            <w:tcW w:w="20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any business or proposals to be considered at the Annual General Meeting other than those</w:t>
            </w:r>
          </w:p>
        </w:tc>
        <w:tc>
          <w:tcPr>
            <w:tcW w:w="16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conducted?</w:t>
            </w: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set forth in this Proxy Statement. If any other business is proposed and properly presented at</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4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340" w:type="dxa"/>
            <w:vAlign w:val="bottom"/>
            <w:shd w:val="clear" w:color="auto" w:fill="E5E5E5"/>
          </w:tcPr>
          <w:p>
            <w:pPr>
              <w:ind w:left="80"/>
              <w:spacing w:after="0" w:line="148" w:lineRule="exact"/>
              <w:rPr>
                <w:sz w:val="20"/>
                <w:szCs w:val="20"/>
                <w:color w:val="auto"/>
              </w:rPr>
            </w:pPr>
            <w:r>
              <w:rPr>
                <w:rFonts w:ascii="Arial" w:cs="Arial" w:eastAsia="Arial" w:hAnsi="Arial"/>
                <w:sz w:val="16"/>
                <w:szCs w:val="16"/>
                <w:color w:val="auto"/>
              </w:rPr>
              <w:t>the Annual General Meeting, the proxies received from our shareholders give the proxy</w:t>
            </w:r>
          </w:p>
        </w:tc>
        <w:tc>
          <w:tcPr>
            <w:tcW w:w="4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214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right w:val="single" w:sz="8" w:color="auto"/>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63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holders the authority to vote on such matters at their discretion.</w:t>
            </w:r>
          </w:p>
        </w:tc>
        <w:tc>
          <w:tcPr>
            <w:tcW w:w="44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14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Who will count the</w:t>
            </w:r>
          </w:p>
        </w:tc>
        <w:tc>
          <w:tcPr>
            <w:tcW w:w="200" w:type="dxa"/>
            <w:vAlign w:val="bottom"/>
            <w:tcBorders>
              <w:top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6780" w:type="dxa"/>
            <w:vAlign w:val="bottom"/>
            <w:tcBorders>
              <w:top w:val="single" w:sz="8" w:color="auto"/>
            </w:tcBorders>
            <w:gridSpan w:val="2"/>
          </w:tcPr>
          <w:p>
            <w:pPr>
              <w:ind w:left="80"/>
              <w:spacing w:after="0" w:line="183" w:lineRule="exact"/>
              <w:rPr>
                <w:sz w:val="20"/>
                <w:szCs w:val="20"/>
                <w:color w:val="auto"/>
              </w:rPr>
            </w:pPr>
            <w:r>
              <w:rPr>
                <w:rFonts w:ascii="Arial" w:cs="Arial" w:eastAsia="Arial" w:hAnsi="Arial"/>
                <w:sz w:val="16"/>
                <w:szCs w:val="16"/>
                <w:color w:val="auto"/>
              </w:rPr>
              <w:t>A representative of Broadridge Financial Solutions, Inc. will act as the inspector of elections</w:t>
            </w:r>
          </w:p>
        </w:tc>
        <w:tc>
          <w:tcPr>
            <w:tcW w:w="1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votes?</w:t>
            </w:r>
          </w:p>
        </w:tc>
        <w:tc>
          <w:tcPr>
            <w:tcW w:w="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and will tabulate the votes.</w:t>
            </w: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shd w:val="clear" w:color="auto" w:fill="E5E5E5"/>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Who will pay the costs</w:t>
            </w:r>
          </w:p>
        </w:tc>
        <w:tc>
          <w:tcPr>
            <w:tcW w:w="20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Keenova will pay the costs of soliciting proxies. Proxies may be solicited on our behalf by our</w:t>
            </w:r>
          </w:p>
        </w:tc>
        <w:tc>
          <w:tcPr>
            <w:tcW w:w="160" w:type="dxa"/>
            <w:vAlign w:val="bottom"/>
            <w:shd w:val="clear" w:color="auto" w:fill="E5E5E5"/>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4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of soliciting the</w:t>
            </w:r>
          </w:p>
        </w:tc>
        <w:tc>
          <w:tcPr>
            <w:tcW w:w="20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directors, officers or employees in person or by telephone, facsimile or other electronic means.</w:t>
            </w:r>
          </w:p>
        </w:tc>
        <w:tc>
          <w:tcPr>
            <w:tcW w:w="16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proxies?</w:t>
            </w: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We have retained Innisfree M&amp;A Incorporated (“Innisfree”) to assist in solicitation of proxies</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4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780" w:type="dxa"/>
            <w:vAlign w:val="bottom"/>
            <w:gridSpan w:val="2"/>
            <w:shd w:val="clear" w:color="auto" w:fill="E5E5E5"/>
          </w:tcPr>
          <w:p>
            <w:pPr>
              <w:ind w:left="80"/>
              <w:spacing w:after="0" w:line="148" w:lineRule="exact"/>
              <w:rPr>
                <w:sz w:val="20"/>
                <w:szCs w:val="20"/>
                <w:color w:val="auto"/>
              </w:rPr>
            </w:pPr>
            <w:r>
              <w:rPr>
                <w:rFonts w:ascii="Arial" w:cs="Arial" w:eastAsia="Arial" w:hAnsi="Arial"/>
                <w:sz w:val="16"/>
                <w:szCs w:val="16"/>
                <w:color w:val="auto"/>
              </w:rPr>
              <w:t>and have agreed to pay Innisfree approximately $40,000, plus certain reimbursable expenses.</w:t>
            </w:r>
          </w:p>
        </w:tc>
        <w:tc>
          <w:tcPr>
            <w:tcW w:w="160" w:type="dxa"/>
            <w:vAlign w:val="bottom"/>
            <w:shd w:val="clear" w:color="auto" w:fill="E5E5E5"/>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40" w:type="dxa"/>
            <w:vAlign w:val="bottom"/>
            <w:shd w:val="clear" w:color="auto" w:fill="E5E5E5"/>
          </w:tcPr>
          <w:p>
            <w:pPr>
              <w:spacing w:after="0"/>
              <w:rPr>
                <w:sz w:val="15"/>
                <w:szCs w:val="15"/>
                <w:color w:val="auto"/>
              </w:rPr>
            </w:pPr>
          </w:p>
        </w:tc>
        <w:tc>
          <w:tcPr>
            <w:tcW w:w="20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We have also agreed to indemnify Innisfree against certain liabilities relating to, or arising out</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shd w:val="clear" w:color="auto" w:fill="E5E5E5"/>
          </w:tcPr>
          <w:p>
            <w:pPr>
              <w:spacing w:after="0"/>
              <w:rPr>
                <w:sz w:val="16"/>
                <w:szCs w:val="16"/>
                <w:color w:val="auto"/>
              </w:rPr>
            </w:pP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340" w:type="dxa"/>
            <w:vAlign w:val="bottom"/>
            <w:shd w:val="clear" w:color="auto" w:fill="E5E5E5"/>
          </w:tcPr>
          <w:p>
            <w:pPr>
              <w:ind w:left="80"/>
              <w:spacing w:after="0"/>
              <w:rPr>
                <w:sz w:val="20"/>
                <w:szCs w:val="20"/>
                <w:color w:val="auto"/>
              </w:rPr>
            </w:pPr>
            <w:r>
              <w:rPr>
                <w:rFonts w:ascii="Arial" w:cs="Arial" w:eastAsia="Arial" w:hAnsi="Arial"/>
                <w:sz w:val="16"/>
                <w:szCs w:val="16"/>
                <w:color w:val="auto"/>
              </w:rPr>
              <w:t>of, its engagement. We also will reimburse banks, brokerage firms and other similar</w:t>
            </w:r>
          </w:p>
        </w:tc>
        <w:tc>
          <w:tcPr>
            <w:tcW w:w="4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40" w:type="dxa"/>
            <w:vAlign w:val="bottom"/>
            <w:shd w:val="clear" w:color="auto" w:fill="E5E5E5"/>
          </w:tcPr>
          <w:p>
            <w:pPr>
              <w:spacing w:after="0"/>
              <w:rPr>
                <w:sz w:val="15"/>
                <w:szCs w:val="15"/>
                <w:color w:val="auto"/>
              </w:rPr>
            </w:pPr>
          </w:p>
        </w:tc>
        <w:tc>
          <w:tcPr>
            <w:tcW w:w="20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organizations, upon request, for their reasonable expenses incurred in sending proxies and</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214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E5E5E5"/>
              <w:right w:val="single" w:sz="8" w:color="auto"/>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63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proxy materials to beneficial owners of our ordinary shares.</w:t>
            </w:r>
          </w:p>
        </w:tc>
        <w:tc>
          <w:tcPr>
            <w:tcW w:w="44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140" w:type="dxa"/>
            <w:vAlign w:val="bottom"/>
            <w:tcBorders>
              <w:top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Who is Keenova’s</w:t>
            </w:r>
          </w:p>
        </w:tc>
        <w:tc>
          <w:tcPr>
            <w:tcW w:w="200" w:type="dxa"/>
            <w:vAlign w:val="bottom"/>
            <w:tcBorders>
              <w:top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340" w:type="dxa"/>
            <w:vAlign w:val="bottom"/>
            <w:tcBorders>
              <w:top w:val="single" w:sz="8" w:color="auto"/>
            </w:tcBorders>
          </w:tcPr>
          <w:p>
            <w:pPr>
              <w:ind w:left="80"/>
              <w:spacing w:after="0" w:line="183" w:lineRule="exact"/>
              <w:rPr>
                <w:sz w:val="20"/>
                <w:szCs w:val="20"/>
                <w:color w:val="auto"/>
              </w:rPr>
            </w:pPr>
            <w:r>
              <w:rPr>
                <w:rFonts w:ascii="Arial" w:cs="Arial" w:eastAsia="Arial" w:hAnsi="Arial"/>
                <w:sz w:val="16"/>
                <w:szCs w:val="16"/>
                <w:color w:val="auto"/>
                <w:w w:val="99"/>
              </w:rPr>
              <w:t>Keenova’s transfer agent is Computershare. All communications concerning accounts of</w:t>
            </w: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transfer agent?</w:t>
            </w: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rPr>
              <w:t>shareholders of record, including address changes, name changes, inquiries as to</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340" w:type="dxa"/>
            <w:vAlign w:val="bottom"/>
          </w:tcPr>
          <w:p>
            <w:pPr>
              <w:ind w:left="80"/>
              <w:spacing w:after="0" w:line="161" w:lineRule="exact"/>
              <w:rPr>
                <w:sz w:val="20"/>
                <w:szCs w:val="20"/>
                <w:color w:val="auto"/>
              </w:rPr>
            </w:pPr>
            <w:r>
              <w:rPr>
                <w:rFonts w:ascii="Arial" w:cs="Arial" w:eastAsia="Arial" w:hAnsi="Arial"/>
                <w:sz w:val="16"/>
                <w:szCs w:val="16"/>
                <w:color w:val="auto"/>
              </w:rPr>
              <w:t>requirements to transfer Keenova ordinary shares and similar issues, can be handled by</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calling 1-866-644-4127 (within the U.S. and Canada) or 1-781-575-2906 (outside the U.S. and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w w:val="99"/>
              </w:rPr>
              <w:t xml:space="preserve">Canada) or by accessing Computershare’s website at </w:t>
            </w:r>
            <w:r>
              <w:rPr>
                <w:rFonts w:ascii="Arial" w:cs="Arial" w:eastAsia="Arial" w:hAnsi="Arial"/>
                <w:sz w:val="16"/>
                <w:szCs w:val="16"/>
                <w:i w:val="1"/>
                <w:iCs w:val="1"/>
                <w:color w:val="auto"/>
                <w:w w:val="99"/>
              </w:rPr>
              <w:t>www.computershare.com/investor</w:t>
            </w:r>
            <w:r>
              <w:rPr>
                <w:rFonts w:ascii="Arial" w:cs="Arial" w:eastAsia="Arial" w:hAnsi="Arial"/>
                <w:sz w:val="16"/>
                <w:szCs w:val="16"/>
                <w:color w:val="auto"/>
                <w:w w:val="99"/>
              </w:rPr>
              <w:t>​</w:t>
            </w:r>
          </w:p>
        </w:tc>
        <w:tc>
          <w:tcPr>
            <w:tcW w:w="440" w:type="dxa"/>
            <w:vAlign w:val="bottom"/>
          </w:tcPr>
          <w:p>
            <w:pPr>
              <w:jc w:val="right"/>
              <w:ind w:right="349"/>
              <w:spacing w:after="0"/>
              <w:rPr>
                <w:sz w:val="20"/>
                <w:szCs w:val="20"/>
                <w:color w:val="auto"/>
              </w:rPr>
            </w:pPr>
            <w:r>
              <w:rPr>
                <w:rFonts w:ascii="Arial" w:cs="Arial" w:eastAsia="Arial" w:hAnsi="Arial"/>
                <w:sz w:val="10"/>
                <w:szCs w:val="10"/>
                <w:color w:val="auto"/>
                <w:w w:val="70"/>
              </w:rPr>
              <w: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140" w:type="dxa"/>
            <w:vAlign w:val="bottom"/>
            <w:shd w:val="clear" w:color="auto" w:fill="E5E5E5"/>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What if I have</w:t>
            </w:r>
          </w:p>
        </w:tc>
        <w:tc>
          <w:tcPr>
            <w:tcW w:w="200" w:type="dxa"/>
            <w:vAlign w:val="bottom"/>
            <w:tcBorders>
              <w:right w:val="single" w:sz="8" w:color="auto"/>
            </w:tcBorders>
            <w:shd w:val="clear" w:color="auto" w:fill="E5E5E5"/>
          </w:tcPr>
          <w:p>
            <w:pPr>
              <w:ind w:left="8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w:t>
            </w:r>
          </w:p>
        </w:tc>
        <w:tc>
          <w:tcPr>
            <w:tcW w:w="63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w w:val="99"/>
              </w:rPr>
              <w:t>Under Irish law and our Memorandum and Articles of Association, rights in respect of our</w:t>
            </w:r>
          </w:p>
        </w:tc>
        <w:tc>
          <w:tcPr>
            <w:tcW w:w="440" w:type="dxa"/>
            <w:vAlign w:val="bottom"/>
            <w:shd w:val="clear" w:color="auto" w:fill="E5E5E5"/>
          </w:tcPr>
          <w:p>
            <w:pPr>
              <w:spacing w:after="0"/>
              <w:rPr>
                <w:sz w:val="15"/>
                <w:szCs w:val="15"/>
                <w:color w:val="auto"/>
              </w:rPr>
            </w:pPr>
          </w:p>
        </w:tc>
        <w:tc>
          <w:tcPr>
            <w:tcW w:w="1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4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purchased Keenova</w:t>
            </w:r>
          </w:p>
        </w:tc>
        <w:tc>
          <w:tcPr>
            <w:tcW w:w="20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ordinary shares are exercisable by the registered shareholder as entered in the Register of</w:t>
            </w:r>
          </w:p>
        </w:tc>
        <w:tc>
          <w:tcPr>
            <w:tcW w:w="16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ordinary shares but I</w:t>
            </w: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Members. For example, the exercise of voting rights and rights related to the appointment or</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4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am not listed as the</w:t>
            </w:r>
          </w:p>
        </w:tc>
        <w:tc>
          <w:tcPr>
            <w:tcW w:w="200" w:type="dxa"/>
            <w:vAlign w:val="bottom"/>
            <w:tcBorders>
              <w:right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340" w:type="dxa"/>
            <w:vAlign w:val="bottom"/>
            <w:shd w:val="clear" w:color="auto" w:fill="E5E5E5"/>
          </w:tcPr>
          <w:p>
            <w:pPr>
              <w:ind w:left="80"/>
              <w:spacing w:after="0"/>
              <w:rPr>
                <w:sz w:val="20"/>
                <w:szCs w:val="20"/>
                <w:color w:val="auto"/>
              </w:rPr>
            </w:pPr>
            <w:r>
              <w:rPr>
                <w:rFonts w:ascii="Arial" w:cs="Arial" w:eastAsia="Arial" w:hAnsi="Arial"/>
                <w:sz w:val="16"/>
                <w:szCs w:val="16"/>
                <w:color w:val="auto"/>
              </w:rPr>
              <w:t>nomination of directors is only effective under Irish law if executed by the registered</w:t>
            </w:r>
          </w:p>
        </w:tc>
        <w:tc>
          <w:tcPr>
            <w:tcW w:w="4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2140" w:type="dxa"/>
            <w:vAlign w:val="bottom"/>
            <w:vMerge w:val="restart"/>
            <w:shd w:val="clear" w:color="auto" w:fill="E5E5E5"/>
          </w:tcPr>
          <w:p>
            <w:pPr>
              <w:ind w:left="120"/>
              <w:spacing w:after="0"/>
              <w:rPr>
                <w:sz w:val="20"/>
                <w:szCs w:val="20"/>
                <w:color w:val="auto"/>
              </w:rPr>
            </w:pPr>
            <w:r>
              <w:rPr>
                <w:rFonts w:ascii="Arial" w:cs="Arial" w:eastAsia="Arial" w:hAnsi="Arial"/>
                <w:sz w:val="18"/>
                <w:szCs w:val="18"/>
                <w:b w:val="1"/>
                <w:bCs w:val="1"/>
                <w:color w:val="auto"/>
              </w:rPr>
              <w:t>registered holder on</w:t>
            </w:r>
          </w:p>
        </w:tc>
        <w:tc>
          <w:tcPr>
            <w:tcW w:w="200" w:type="dxa"/>
            <w:vAlign w:val="bottom"/>
            <w:tcBorders>
              <w:right w:val="single" w:sz="8" w:color="auto"/>
            </w:tcBorders>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780" w:type="dxa"/>
            <w:vAlign w:val="bottom"/>
            <w:gridSpan w:val="2"/>
            <w:shd w:val="clear" w:color="auto" w:fill="E5E5E5"/>
          </w:tcPr>
          <w:p>
            <w:pPr>
              <w:ind w:left="80"/>
              <w:spacing w:after="0" w:line="121" w:lineRule="exact"/>
              <w:rPr>
                <w:sz w:val="20"/>
                <w:szCs w:val="20"/>
                <w:color w:val="auto"/>
              </w:rPr>
            </w:pPr>
            <w:r>
              <w:rPr>
                <w:rFonts w:ascii="Arial" w:cs="Arial" w:eastAsia="Arial" w:hAnsi="Arial"/>
                <w:sz w:val="14"/>
                <w:szCs w:val="14"/>
                <w:color w:val="auto"/>
              </w:rPr>
              <w:t>shareholder. Because administrative steps to record the legal transfer of our ordinary shares</w:t>
            </w:r>
          </w:p>
        </w:tc>
        <w:tc>
          <w:tcPr>
            <w:tcW w:w="160" w:type="dxa"/>
            <w:vAlign w:val="bottom"/>
            <w:shd w:val="clear" w:color="auto" w:fill="E5E5E5"/>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60" w:type="dxa"/>
            <w:vAlign w:val="bottom"/>
          </w:tcPr>
          <w:p>
            <w:pPr>
              <w:spacing w:after="0"/>
              <w:rPr>
                <w:sz w:val="8"/>
                <w:szCs w:val="8"/>
                <w:color w:val="auto"/>
              </w:rPr>
            </w:pPr>
          </w:p>
        </w:tc>
        <w:tc>
          <w:tcPr>
            <w:tcW w:w="2140" w:type="dxa"/>
            <w:vAlign w:val="bottom"/>
            <w:vMerge w:val="continue"/>
            <w:shd w:val="clear" w:color="auto" w:fill="E5E5E5"/>
          </w:tcPr>
          <w:p>
            <w:pPr>
              <w:spacing w:after="0"/>
              <w:rPr>
                <w:sz w:val="8"/>
                <w:szCs w:val="8"/>
                <w:color w:val="auto"/>
              </w:rPr>
            </w:pPr>
          </w:p>
        </w:tc>
        <w:tc>
          <w:tcPr>
            <w:tcW w:w="200" w:type="dxa"/>
            <w:vAlign w:val="bottom"/>
            <w:tcBorders>
              <w:right w:val="single" w:sz="8" w:color="auto"/>
            </w:tcBorders>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678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on the Register of Members take additional time, there is a delay between the contractual</w:t>
            </w:r>
          </w:p>
        </w:tc>
        <w:tc>
          <w:tcPr>
            <w:tcW w:w="160" w:type="dxa"/>
            <w:vAlign w:val="bottom"/>
            <w:shd w:val="clear" w:color="auto" w:fill="E5E5E5"/>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2140" w:type="dxa"/>
            <w:vAlign w:val="bottom"/>
            <w:vMerge w:val="restart"/>
            <w:shd w:val="clear" w:color="auto" w:fill="E5E5E5"/>
          </w:tcPr>
          <w:p>
            <w:pPr>
              <w:ind w:left="120"/>
              <w:spacing w:after="0"/>
              <w:rPr>
                <w:sz w:val="20"/>
                <w:szCs w:val="20"/>
                <w:color w:val="auto"/>
              </w:rPr>
            </w:pPr>
            <w:r>
              <w:rPr>
                <w:rFonts w:ascii="Arial" w:cs="Arial" w:eastAsia="Arial" w:hAnsi="Arial"/>
                <w:sz w:val="18"/>
                <w:szCs w:val="18"/>
                <w:b w:val="1"/>
                <w:bCs w:val="1"/>
                <w:color w:val="auto"/>
              </w:rPr>
              <w:t>Keenova’s Register of</w:t>
            </w:r>
          </w:p>
        </w:tc>
        <w:tc>
          <w:tcPr>
            <w:tcW w:w="200" w:type="dxa"/>
            <w:vAlign w:val="bottom"/>
            <w:tcBorders>
              <w:right w:val="single" w:sz="8" w:color="auto"/>
            </w:tcBorders>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6780" w:type="dxa"/>
            <w:vAlign w:val="bottom"/>
            <w:gridSpan w:val="2"/>
            <w:vMerge w:val="continue"/>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2140" w:type="dxa"/>
            <w:vAlign w:val="bottom"/>
            <w:vMerge w:val="continue"/>
            <w:shd w:val="clear" w:color="auto" w:fill="E5E5E5"/>
          </w:tcPr>
          <w:p>
            <w:pPr>
              <w:spacing w:after="0"/>
              <w:rPr>
                <w:sz w:val="14"/>
                <w:szCs w:val="14"/>
                <w:color w:val="auto"/>
              </w:rPr>
            </w:pPr>
          </w:p>
        </w:tc>
        <w:tc>
          <w:tcPr>
            <w:tcW w:w="20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780" w:type="dxa"/>
            <w:vAlign w:val="bottom"/>
            <w:gridSpan w:val="2"/>
            <w:shd w:val="clear" w:color="auto" w:fill="E5E5E5"/>
          </w:tcPr>
          <w:p>
            <w:pPr>
              <w:ind w:left="80"/>
              <w:spacing w:after="0" w:line="163" w:lineRule="exact"/>
              <w:rPr>
                <w:sz w:val="20"/>
                <w:szCs w:val="20"/>
                <w:color w:val="auto"/>
              </w:rPr>
            </w:pPr>
            <w:r>
              <w:rPr>
                <w:rFonts w:ascii="Arial" w:cs="Arial" w:eastAsia="Arial" w:hAnsi="Arial"/>
                <w:sz w:val="16"/>
                <w:szCs w:val="16"/>
                <w:color w:val="auto"/>
              </w:rPr>
              <w:t>transfer of shares and the recording of such transfer on the Register of Members, and as a</w:t>
            </w:r>
          </w:p>
        </w:tc>
        <w:tc>
          <w:tcPr>
            <w:tcW w:w="160" w:type="dxa"/>
            <w:vAlign w:val="bottom"/>
            <w:shd w:val="clear" w:color="auto" w:fill="E5E5E5"/>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140" w:type="dxa"/>
            <w:vAlign w:val="bottom"/>
            <w:shd w:val="clear" w:color="auto" w:fill="E5E5E5"/>
          </w:tcPr>
          <w:p>
            <w:pPr>
              <w:ind w:left="120"/>
              <w:spacing w:after="0" w:line="189" w:lineRule="exact"/>
              <w:rPr>
                <w:sz w:val="20"/>
                <w:szCs w:val="20"/>
                <w:color w:val="auto"/>
              </w:rPr>
            </w:pPr>
            <w:r>
              <w:rPr>
                <w:rFonts w:ascii="Arial" w:cs="Arial" w:eastAsia="Arial" w:hAnsi="Arial"/>
                <w:sz w:val="18"/>
                <w:szCs w:val="18"/>
                <w:b w:val="1"/>
                <w:bCs w:val="1"/>
                <w:color w:val="auto"/>
              </w:rPr>
              <w:t>Members?</w:t>
            </w: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result, there is a delay between when a new shareholder purchases our ordinary shares and</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shd w:val="clear" w:color="auto" w:fill="E5E5E5"/>
          </w:tcPr>
          <w:p>
            <w:pPr>
              <w:spacing w:after="0"/>
              <w:rPr>
                <w:sz w:val="16"/>
                <w:szCs w:val="16"/>
                <w:color w:val="auto"/>
              </w:rPr>
            </w:pP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340" w:type="dxa"/>
            <w:vAlign w:val="bottom"/>
            <w:shd w:val="clear" w:color="auto" w:fill="E5E5E5"/>
          </w:tcPr>
          <w:p>
            <w:pPr>
              <w:ind w:left="80"/>
              <w:spacing w:after="0"/>
              <w:rPr>
                <w:sz w:val="20"/>
                <w:szCs w:val="20"/>
                <w:color w:val="auto"/>
              </w:rPr>
            </w:pPr>
            <w:r>
              <w:rPr>
                <w:rFonts w:ascii="Arial" w:cs="Arial" w:eastAsia="Arial" w:hAnsi="Arial"/>
                <w:sz w:val="16"/>
                <w:szCs w:val="16"/>
                <w:color w:val="auto"/>
                <w:w w:val="99"/>
              </w:rPr>
              <w:t>when that shareholder is able to directly exercise their rights as a shareholder over those</w:t>
            </w:r>
          </w:p>
        </w:tc>
        <w:tc>
          <w:tcPr>
            <w:tcW w:w="4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40" w:type="dxa"/>
            <w:vAlign w:val="bottom"/>
            <w:shd w:val="clear" w:color="auto" w:fill="E5E5E5"/>
          </w:tcPr>
          <w:p>
            <w:pPr>
              <w:spacing w:after="0"/>
              <w:rPr>
                <w:sz w:val="15"/>
                <w:szCs w:val="15"/>
                <w:color w:val="auto"/>
              </w:rPr>
            </w:pPr>
          </w:p>
        </w:tc>
        <w:tc>
          <w:tcPr>
            <w:tcW w:w="20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shares. Where any transfer of ordinary shares occurs at less than market value, the transferor</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40" w:type="dxa"/>
            <w:vAlign w:val="bottom"/>
            <w:shd w:val="clear" w:color="auto" w:fill="E5E5E5"/>
          </w:tcPr>
          <w:p>
            <w:pPr>
              <w:spacing w:after="0"/>
              <w:rPr>
                <w:sz w:val="15"/>
                <w:szCs w:val="15"/>
                <w:color w:val="auto"/>
              </w:rPr>
            </w:pPr>
          </w:p>
        </w:tc>
        <w:tc>
          <w:tcPr>
            <w:tcW w:w="200" w:type="dxa"/>
            <w:vAlign w:val="bottom"/>
            <w:tcBorders>
              <w:right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780" w:type="dxa"/>
            <w:vAlign w:val="bottom"/>
            <w:gridSpan w:val="2"/>
            <w:shd w:val="clear" w:color="auto" w:fill="E5E5E5"/>
          </w:tcPr>
          <w:p>
            <w:pPr>
              <w:ind w:left="80"/>
              <w:spacing w:after="0" w:line="175" w:lineRule="exact"/>
              <w:rPr>
                <w:sz w:val="20"/>
                <w:szCs w:val="20"/>
                <w:color w:val="auto"/>
              </w:rPr>
            </w:pPr>
            <w:r>
              <w:rPr>
                <w:rFonts w:ascii="Arial" w:cs="Arial" w:eastAsia="Arial" w:hAnsi="Arial"/>
                <w:sz w:val="16"/>
                <w:szCs w:val="16"/>
                <w:color w:val="auto"/>
              </w:rPr>
              <w:t>can be liable for all of the obligations of the transferee in relation to Irish stamp duty. Additional</w:t>
            </w:r>
          </w:p>
        </w:tc>
        <w:tc>
          <w:tcPr>
            <w:tcW w:w="16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shd w:val="clear" w:color="auto" w:fill="E5E5E5"/>
          </w:tcPr>
          <w:p>
            <w:pPr>
              <w:spacing w:after="0"/>
              <w:rPr>
                <w:sz w:val="16"/>
                <w:szCs w:val="16"/>
                <w:color w:val="auto"/>
              </w:rPr>
            </w:pPr>
          </w:p>
        </w:tc>
        <w:tc>
          <w:tcPr>
            <w:tcW w:w="200" w:type="dxa"/>
            <w:vAlign w:val="bottom"/>
            <w:tcBorders>
              <w:right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7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information on transfer forms and the payment of the stamp duty on transfers is available on</w:t>
            </w:r>
          </w:p>
        </w:tc>
        <w:tc>
          <w:tcPr>
            <w:tcW w:w="16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2140" w:type="dxa"/>
            <w:vAlign w:val="bottom"/>
            <w:tcBorders>
              <w:bottom w:val="single" w:sz="8" w:color="auto"/>
            </w:tcBorders>
            <w:shd w:val="clear" w:color="auto" w:fill="E5E5E5"/>
          </w:tcPr>
          <w:p>
            <w:pPr>
              <w:spacing w:after="0"/>
              <w:rPr>
                <w:sz w:val="19"/>
                <w:szCs w:val="19"/>
                <w:color w:val="auto"/>
              </w:rPr>
            </w:pPr>
          </w:p>
        </w:tc>
        <w:tc>
          <w:tcPr>
            <w:tcW w:w="200" w:type="dxa"/>
            <w:vAlign w:val="bottom"/>
            <w:tcBorders>
              <w:bottom w:val="single" w:sz="8" w:color="auto"/>
              <w:right w:val="single" w:sz="8" w:color="auto"/>
            </w:tcBorders>
            <w:shd w:val="clear" w:color="auto" w:fill="E5E5E5"/>
          </w:tcPr>
          <w:p>
            <w:pPr>
              <w:spacing w:after="0"/>
              <w:rPr>
                <w:sz w:val="19"/>
                <w:szCs w:val="19"/>
                <w:color w:val="auto"/>
              </w:rPr>
            </w:pPr>
          </w:p>
        </w:tc>
        <w:tc>
          <w:tcPr>
            <w:tcW w:w="120" w:type="dxa"/>
            <w:vAlign w:val="bottom"/>
            <w:tcBorders>
              <w:bottom w:val="single" w:sz="8" w:color="auto"/>
            </w:tcBorders>
            <w:shd w:val="clear" w:color="auto" w:fill="E5E5E5"/>
          </w:tcPr>
          <w:p>
            <w:pPr>
              <w:spacing w:after="0"/>
              <w:rPr>
                <w:sz w:val="19"/>
                <w:szCs w:val="19"/>
                <w:color w:val="auto"/>
              </w:rPr>
            </w:pPr>
          </w:p>
        </w:tc>
        <w:tc>
          <w:tcPr>
            <w:tcW w:w="6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 xml:space="preserve">our Investor Relations website </w:t>
            </w:r>
            <w:r>
              <w:rPr>
                <w:rFonts w:ascii="Arial" w:cs="Arial" w:eastAsia="Arial" w:hAnsi="Arial"/>
                <w:sz w:val="16"/>
                <w:szCs w:val="16"/>
                <w:i w:val="1"/>
                <w:iCs w:val="1"/>
                <w:color w:val="auto"/>
              </w:rPr>
              <w:t>investor.keenova.com</w:t>
            </w:r>
            <w:r>
              <w:rPr>
                <w:rFonts w:ascii="Arial" w:cs="Arial" w:eastAsia="Arial" w:hAnsi="Arial"/>
                <w:sz w:val="16"/>
                <w:szCs w:val="16"/>
                <w:color w:val="auto"/>
              </w:rPr>
              <w:t>.</w:t>
            </w:r>
          </w:p>
        </w:tc>
        <w:tc>
          <w:tcPr>
            <w:tcW w:w="440" w:type="dxa"/>
            <w:vAlign w:val="bottom"/>
            <w:tcBorders>
              <w:bottom w:val="single" w:sz="8" w:color="auto"/>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Where can I find more</w:t>
            </w:r>
          </w:p>
        </w:tc>
        <w:tc>
          <w:tcPr>
            <w:tcW w:w="2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 xml:space="preserve">For other information about Keenova, you can visit our website at </w:t>
            </w:r>
            <w:r>
              <w:rPr>
                <w:rFonts w:ascii="Arial" w:cs="Arial" w:eastAsia="Arial" w:hAnsi="Arial"/>
                <w:sz w:val="16"/>
                <w:szCs w:val="16"/>
                <w:i w:val="1"/>
                <w:iCs w:val="1"/>
                <w:color w:val="auto"/>
              </w:rPr>
              <w:t>www</w:t>
            </w:r>
            <w:r>
              <w:rPr>
                <w:rFonts w:ascii="Arial" w:cs="Arial" w:eastAsia="Arial" w:hAnsi="Arial"/>
                <w:sz w:val="16"/>
                <w:szCs w:val="16"/>
                <w:color w:val="auto"/>
              </w:rPr>
              <w:t>.</w:t>
            </w:r>
            <w:r>
              <w:rPr>
                <w:rFonts w:ascii="Arial" w:cs="Arial" w:eastAsia="Arial" w:hAnsi="Arial"/>
                <w:sz w:val="16"/>
                <w:szCs w:val="16"/>
                <w:i w:val="1"/>
                <w:iCs w:val="1"/>
                <w:color w:val="auto"/>
              </w:rPr>
              <w:t>keenova.com</w:t>
            </w:r>
            <w:r>
              <w:rPr>
                <w:rFonts w:ascii="Arial" w:cs="Arial" w:eastAsia="Arial" w:hAnsi="Arial"/>
                <w:sz w:val="16"/>
                <w:szCs w:val="16"/>
                <w:color w:val="auto"/>
              </w:rPr>
              <w:t>. We use</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1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information about</w:t>
            </w: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w w:val="99"/>
              </w:rPr>
              <w:t>our website as a channel of distribution of important company information, such as press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Keenova?</w:t>
            </w: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releases, investor presentations and other financial information. We also use our website to</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340" w:type="dxa"/>
            <w:vAlign w:val="bottom"/>
          </w:tcPr>
          <w:p>
            <w:pPr>
              <w:ind w:left="80"/>
              <w:spacing w:after="0" w:line="148" w:lineRule="exact"/>
              <w:rPr>
                <w:sz w:val="20"/>
                <w:szCs w:val="20"/>
                <w:color w:val="auto"/>
              </w:rPr>
            </w:pPr>
            <w:r>
              <w:rPr>
                <w:rFonts w:ascii="Arial" w:cs="Arial" w:eastAsia="Arial" w:hAnsi="Arial"/>
                <w:sz w:val="16"/>
                <w:szCs w:val="16"/>
                <w:color w:val="auto"/>
              </w:rPr>
              <w:t>expedite public access to time-critical information regarding us in advance of or in lieu of</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w w:val="99"/>
              </w:rPr>
              <w:t>distributing a press release or a filing with the SEC disclosing the same information. Therefore,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investors should look to the Investor Relations page of our website for important and time-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critical information. Visitors to our website can also register to receive automatic e-mail and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340" w:type="dxa"/>
            <w:vAlign w:val="bottom"/>
          </w:tcPr>
          <w:p>
            <w:pPr>
              <w:ind w:left="80"/>
              <w:spacing w:after="0" w:line="175" w:lineRule="exact"/>
              <w:rPr>
                <w:sz w:val="20"/>
                <w:szCs w:val="20"/>
                <w:color w:val="auto"/>
              </w:rPr>
            </w:pPr>
            <w:r>
              <w:rPr>
                <w:rFonts w:ascii="Arial" w:cs="Arial" w:eastAsia="Arial" w:hAnsi="Arial"/>
                <w:sz w:val="16"/>
                <w:szCs w:val="16"/>
                <w:color w:val="auto"/>
              </w:rPr>
              <w:t>other notifications alerting them when new information is made available on the Investor</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rPr>
              <w:t>Relations page of our website.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We make our website content available for information purposes only. Our website should not</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be relied upon for investment decision purposes, and nothing on our website shall be deemed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Arial" w:cs="Arial" w:eastAsia="Arial" w:hAnsi="Arial"/>
                <w:sz w:val="16"/>
                <w:szCs w:val="16"/>
                <w:color w:val="auto"/>
              </w:rPr>
              <w:t>incorporated by reference into this Proxy Statement.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6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8"/>
        </w:trPr>
        <w:tc>
          <w:tcPr>
            <w:tcW w:w="66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3"/>
                <w:szCs w:val="13"/>
                <w:color w:val="323232"/>
              </w:rPr>
              <w:t>​8  |  2026 Proxy Statement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40" w:type="dxa"/>
            <w:vAlign w:val="bottom"/>
          </w:tcPr>
          <w:p>
            <w:pPr>
              <w:ind w:left="2160"/>
              <w:spacing w:after="0"/>
              <w:rPr>
                <w:sz w:val="20"/>
                <w:szCs w:val="20"/>
                <w:color w:val="auto"/>
              </w:rPr>
            </w:pPr>
            <w:r>
              <w:rPr>
                <w:rFonts w:ascii="Arial" w:cs="Arial" w:eastAsia="Arial" w:hAnsi="Arial"/>
                <w:sz w:val="13"/>
                <w:szCs w:val="13"/>
                <w:color w:val="323232"/>
              </w:rPr>
              <w:t>​ ​</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323232"/>
              </w:rPr>
              <w:t>​</w:t>
            </w:r>
          </w:p>
        </w:tc>
        <w:tc>
          <w:tcPr>
            <w:tcW w:w="0" w:type="dxa"/>
            <w:vAlign w:val="bottom"/>
          </w:tcPr>
          <w:p>
            <w:pPr>
              <w:spacing w:after="0"/>
              <w:rPr>
                <w:sz w:val="1"/>
                <w:szCs w:val="1"/>
                <w:color w:val="auto"/>
              </w:rPr>
            </w:pPr>
          </w:p>
        </w:tc>
      </w:tr>
      <w:tr>
        <w:trPr>
          <w:trHeight w:val="410"/>
        </w:trPr>
        <w:tc>
          <w:tcPr>
            <w:tcW w:w="6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-334010</wp:posOffset>
            </wp:positionV>
            <wp:extent cx="44577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680"/>
        <w:spacing w:after="0"/>
        <w:rPr>
          <w:sz w:val="20"/>
          <w:szCs w:val="20"/>
          <w:color w:val="auto"/>
        </w:rPr>
      </w:pPr>
      <w:r>
        <w:rPr>
          <w:rFonts w:ascii="Arial" w:cs="Arial" w:eastAsia="Arial" w:hAnsi="Arial"/>
          <w:sz w:val="13"/>
          <w:szCs w:val="13"/>
          <w:color w:val="323232"/>
        </w:rPr>
        <w:t>Corporate Governance</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Corporate Governance</w:t>
      </w:r>
    </w:p>
    <w:p>
      <w:pPr>
        <w:spacing w:after="0" w:line="120" w:lineRule="exact"/>
        <w:rPr>
          <w:sz w:val="20"/>
          <w:szCs w:val="20"/>
          <w:color w:val="auto"/>
        </w:rPr>
      </w:pPr>
    </w:p>
    <w:p>
      <w:pPr>
        <w:ind w:left="680" w:right="100"/>
        <w:spacing w:after="0" w:line="259" w:lineRule="auto"/>
        <w:rPr>
          <w:sz w:val="20"/>
          <w:szCs w:val="20"/>
          <w:color w:val="auto"/>
        </w:rPr>
      </w:pPr>
      <w:r>
        <w:rPr>
          <w:rFonts w:ascii="Arial" w:cs="Arial" w:eastAsia="Arial" w:hAnsi="Arial"/>
          <w:sz w:val="16"/>
          <w:szCs w:val="16"/>
          <w:color w:val="auto"/>
        </w:rPr>
        <w:t>Because our ordinary shares are not listed on any national securities exchange, we are not subject to the listing rules or standards of an exchange with particular corporate governance requirements. However, our corporate governance documents, policies and procedures are guided by what we believe is appropriate in light of our governance structure, U.S. practices and applicable federal securities laws and regulations.</w:t>
      </w:r>
    </w:p>
    <w:p>
      <w:pPr>
        <w:spacing w:after="0" w:line="137" w:lineRule="exact"/>
        <w:rPr>
          <w:sz w:val="20"/>
          <w:szCs w:val="20"/>
          <w:color w:val="auto"/>
        </w:rPr>
      </w:pPr>
    </w:p>
    <w:p>
      <w:pPr>
        <w:ind w:left="680" w:right="60"/>
        <w:spacing w:after="0" w:line="254" w:lineRule="auto"/>
        <w:rPr>
          <w:sz w:val="20"/>
          <w:szCs w:val="20"/>
          <w:color w:val="auto"/>
        </w:rPr>
      </w:pPr>
      <w:r>
        <w:rPr>
          <w:rFonts w:ascii="Arial" w:cs="Arial" w:eastAsia="Arial" w:hAnsi="Arial"/>
          <w:sz w:val="16"/>
          <w:szCs w:val="16"/>
          <w:color w:val="auto"/>
        </w:rPr>
        <w:t>Although we are an Irish public limited company, we are not subject to the listing rules of the Euronext Dublin or the listing rules of the U.K. Listing Authority and we are therefore not subject to, nor have we adopted, the U.K. Corporate Governance Code or any other non-statutory Irish or U.K. governance standards or guidelines. While there are many similarities between the U.S. corporate governance standards we apply and the U.K. Corporate Governance Code and other Irish and U.K. governance standards or guidelines, there are differences, relating in particular to the extent of the authorization to issue share capital and effect share repurchases that may be granted to the board of directors and the criteria for determining the independence of directors.</w:t>
      </w:r>
    </w:p>
    <w:p>
      <w:pPr>
        <w:spacing w:after="0" w:line="155" w:lineRule="exact"/>
        <w:rPr>
          <w:sz w:val="20"/>
          <w:szCs w:val="20"/>
          <w:color w:val="auto"/>
        </w:rPr>
      </w:pPr>
    </w:p>
    <w:p>
      <w:pPr>
        <w:ind w:left="680" w:right="140"/>
        <w:spacing w:after="0" w:line="259" w:lineRule="auto"/>
        <w:rPr>
          <w:sz w:val="20"/>
          <w:szCs w:val="20"/>
          <w:color w:val="auto"/>
        </w:rPr>
      </w:pPr>
      <w:r>
        <w:rPr>
          <w:rFonts w:ascii="Arial" w:cs="Arial" w:eastAsia="Arial" w:hAnsi="Arial"/>
          <w:sz w:val="16"/>
          <w:szCs w:val="16"/>
          <w:color w:val="auto"/>
        </w:rPr>
        <w:t>Our Board believes that good governance requires not only an effective set of specific practices, but also a culture of responsibility throughout an organization, and governance at Keenova is intended to achieve both. Our Board also believes that good governance ultimately depends on the quality of an organization’s leadership, and it is committed to recruiting and retaining directors and officers of proven leadership ability and personal integrity.</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Recent Corporate Governance Changes</w:t>
      </w:r>
    </w:p>
    <w:p>
      <w:pPr>
        <w:spacing w:after="0" w:line="112" w:lineRule="exact"/>
        <w:rPr>
          <w:sz w:val="20"/>
          <w:szCs w:val="20"/>
          <w:color w:val="auto"/>
        </w:rPr>
      </w:pPr>
    </w:p>
    <w:p>
      <w:pPr>
        <w:ind w:left="680" w:right="220"/>
        <w:spacing w:after="0" w:line="254" w:lineRule="auto"/>
        <w:rPr>
          <w:sz w:val="20"/>
          <w:szCs w:val="20"/>
          <w:color w:val="auto"/>
        </w:rPr>
      </w:pPr>
      <w:r>
        <w:rPr>
          <w:rFonts w:ascii="Arial" w:cs="Arial" w:eastAsia="Arial" w:hAnsi="Arial"/>
          <w:sz w:val="16"/>
          <w:szCs w:val="16"/>
          <w:color w:val="auto"/>
        </w:rPr>
        <w:t>During fiscal 2025, our Board adopted amendments to various corporate governance documents, policies and procedures. In connection with the Business Combination, our shareholders approved amendments to our Articles of Association to facilitate the Business Combination and to reflect a form that is customary for an Irish public limited company considering a potential listing of its ordinary shares on the New York Stock Exchange (“NYSE”). Additionally, in connection with the Business Combination, our Board adopted amendments to the charters of our Board committees and our Corporate Governance Guidelines to align with our current governance structure as set forth in our Articles of Association.</w:t>
      </w:r>
    </w:p>
    <w:p>
      <w:pPr>
        <w:spacing w:after="0" w:line="155" w:lineRule="exact"/>
        <w:rPr>
          <w:sz w:val="20"/>
          <w:szCs w:val="20"/>
          <w:color w:val="auto"/>
        </w:rPr>
      </w:pPr>
    </w:p>
    <w:p>
      <w:pPr>
        <w:ind w:left="680" w:right="40"/>
        <w:spacing w:after="0" w:line="248" w:lineRule="auto"/>
        <w:rPr>
          <w:sz w:val="20"/>
          <w:szCs w:val="20"/>
          <w:color w:val="auto"/>
        </w:rPr>
      </w:pPr>
      <w:r>
        <w:rPr>
          <w:rFonts w:ascii="Arial" w:cs="Arial" w:eastAsia="Arial" w:hAnsi="Arial"/>
          <w:sz w:val="16"/>
          <w:szCs w:val="16"/>
          <w:color w:val="auto"/>
        </w:rPr>
        <w:t>The adoption of the Articles of Association, among other things, (1) created a new class of preferred shares, (2) removed existing pre-emption rights over certain newly issued shares, (3) removed the cap on shares issuable pursuant to Mallinckrodt Pharmaceuticals 2024 Stock and Incentive Plan, (4) removed certain restrictions on the ability of our shareholders to deal in their shares under certain conditions, (5) aligned the circumstances in which directors can decline to register a transfer of their shares with the customary approach of Irish-incorporated U.S. listed issuers, (6) removed drag-along and tag-along rights, (7) set the quorum for general meetings of holders of any class of shares at two or more persons holding (or representing by proxy) at least one half in nominal value of the issued shares of the class, (8) amended the procedures governing shareholder votes such that all voting will be carried out by way of a poll and clarified the manner in which such poll will be conducted, (9) amended the procedures required for advance notice of shareholders’ business and nominations to align with current market practices, (10) removed the right of holders of more than one half of our shares to require the Board to initiate a process for review of strategic alternatives, (11) removed the requirement for the Board to obtain approval of the holders of more than one half of our shares before selling, leasing or exchanging all or substantially all of the Company’s property and assets, (12) aligned the provisions regarding shareholder rights plan with the customary approach adopted by Irish-incorporated U.S. listed companies, (13) restricted us from engaging in business combinations with “interested members” for a period of time, (14) allowed the Board to determine its own size subject to certain limitations and elect its chair, (15) allowed for the vacation ipso facto of the office of a director where he/she is requested to resign in writing by not less than three quarters of the other directors, (16) implemented plurality voting of directors in contested elections, (17) removed director appointment rights for certain classes of shareholders, (18) dissolved the Nominating and Selection Committee and (19) removed certain board observer and information rights.</w:t>
      </w:r>
    </w:p>
    <w:p>
      <w:pPr>
        <w:spacing w:after="0" w:line="155" w:lineRule="exact"/>
        <w:rPr>
          <w:sz w:val="20"/>
          <w:szCs w:val="20"/>
          <w:color w:val="auto"/>
        </w:rPr>
      </w:pPr>
    </w:p>
    <w:p>
      <w:pPr>
        <w:ind w:left="680" w:right="80"/>
        <w:spacing w:after="0" w:line="256" w:lineRule="auto"/>
        <w:rPr>
          <w:sz w:val="20"/>
          <w:szCs w:val="20"/>
          <w:color w:val="auto"/>
        </w:rPr>
      </w:pPr>
      <w:r>
        <w:rPr>
          <w:rFonts w:ascii="Arial" w:cs="Arial" w:eastAsia="Arial" w:hAnsi="Arial"/>
          <w:sz w:val="16"/>
          <w:szCs w:val="16"/>
          <w:color w:val="auto"/>
        </w:rPr>
        <w:t>In connection with the Spin-off, the Articles of Association were updated to reflect the increase in the Company’s authorized share capital, which was necessary to implement the Spin-off, and we subsequently amended the Articles of Association further to reflect the Company’s name change to Keenova Therapeutics plc. Following the Spin-off, our Board also adopted amendments to our Code of Conduct to integrate the Company’s and Endo’s practices, and to ensure the Code of Conduct’s continued accuracy, relevance and applicability to the Company’s diversified operations.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Current Directors and Director Nominees</w:t>
      </w:r>
    </w:p>
    <w:p>
      <w:pPr>
        <w:spacing w:after="0" w:line="126" w:lineRule="exact"/>
        <w:rPr>
          <w:sz w:val="20"/>
          <w:szCs w:val="20"/>
          <w:color w:val="auto"/>
        </w:rPr>
      </w:pPr>
    </w:p>
    <w:p>
      <w:pPr>
        <w:ind w:left="680" w:right="40"/>
        <w:spacing w:after="0" w:line="254" w:lineRule="auto"/>
        <w:rPr>
          <w:sz w:val="20"/>
          <w:szCs w:val="20"/>
          <w:color w:val="auto"/>
        </w:rPr>
      </w:pPr>
      <w:r>
        <w:rPr>
          <w:rFonts w:ascii="Arial" w:cs="Arial" w:eastAsia="Arial" w:hAnsi="Arial"/>
          <w:sz w:val="16"/>
          <w:szCs w:val="16"/>
          <w:color w:val="auto"/>
        </w:rPr>
        <w:t>All nine of our director nominees are current members of the Board, and were appointed pursuant to the terms of the Transaction Agreement, dated as of March 13, 2025 (as amended on April 23, 2025) by and among the Company, Endo and Salvare Merger Sub LLC (the “Transaction Agreement”), which required the Board following the completion of the Business Combination to consist of nine directors, including (i) four individuals who were members of the Board as of immediately prior to the effective time of the merger (“Merger Effective Time”) (the “Mallinckrodt Selected Directors”), (ii) four individuals who were members of the Endo board of directors as of immediately prior to the Merger Effective Time (the “Endo Selected Directors”) and (iii) one individual selected prior</w:t>
      </w:r>
    </w:p>
    <w:p>
      <w:pPr>
        <w:spacing w:after="0" w:line="162" w:lineRule="exact"/>
        <w:rPr>
          <w:sz w:val="20"/>
          <w:szCs w:val="20"/>
          <w:color w:val="auto"/>
        </w:rPr>
      </w:pPr>
    </w:p>
    <w:p>
      <w:pPr>
        <w:ind w:left="680"/>
        <w:spacing w:after="0"/>
        <w:tabs>
          <w:tab w:leader="none" w:pos="5220" w:val="left"/>
          <w:tab w:leader="none" w:pos="846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9</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Corporate Governance</w:t>
      </w:r>
    </w:p>
    <w:p>
      <w:pPr>
        <w:spacing w:after="0" w:line="200" w:lineRule="exact"/>
        <w:rPr>
          <w:sz w:val="20"/>
          <w:szCs w:val="20"/>
          <w:color w:val="auto"/>
        </w:rPr>
      </w:pPr>
    </w:p>
    <w:p>
      <w:pPr>
        <w:spacing w:after="0" w:line="216" w:lineRule="exact"/>
        <w:rPr>
          <w:sz w:val="20"/>
          <w:szCs w:val="20"/>
          <w:color w:val="auto"/>
        </w:rPr>
      </w:pPr>
    </w:p>
    <w:p>
      <w:pPr>
        <w:ind w:left="680" w:right="80"/>
        <w:spacing w:after="0" w:line="256" w:lineRule="auto"/>
        <w:rPr>
          <w:sz w:val="20"/>
          <w:szCs w:val="20"/>
          <w:color w:val="auto"/>
        </w:rPr>
      </w:pPr>
      <w:r>
        <w:rPr>
          <w:rFonts w:ascii="Arial" w:cs="Arial" w:eastAsia="Arial" w:hAnsi="Arial"/>
          <w:sz w:val="16"/>
          <w:szCs w:val="16"/>
          <w:color w:val="auto"/>
        </w:rPr>
        <w:t>to the completion of the Business Combination by a majority of the persons designated to be Endo Selected Directors or Mallinckrodt Selected Directors to become a member of the Board (the “Jointly Selected Director”). Paul Bisaro, Katina Dorton, Sigurdur O. Olafsson (who is our President and Chief Executive Officer (“CEO”)) and Jonathan Zinman were designated as the Mallinckrodt Selected Directors; Paul Efron, Scott Hirsch, Sophia Langlois and Marc Yoskowitz were designated as the Endo Selected Directors; and Leslie Donato was designated as the Jointly Selected Director.</w:t>
      </w:r>
    </w:p>
    <w:p>
      <w:pPr>
        <w:spacing w:after="0" w:line="139" w:lineRule="exact"/>
        <w:rPr>
          <w:sz w:val="20"/>
          <w:szCs w:val="20"/>
          <w:color w:val="auto"/>
        </w:rPr>
      </w:pPr>
    </w:p>
    <w:p>
      <w:pPr>
        <w:ind w:left="680" w:right="80"/>
        <w:spacing w:after="0" w:line="259" w:lineRule="auto"/>
        <w:rPr>
          <w:sz w:val="20"/>
          <w:szCs w:val="20"/>
          <w:color w:val="auto"/>
        </w:rPr>
      </w:pPr>
      <w:r>
        <w:rPr>
          <w:rFonts w:ascii="Arial" w:cs="Arial" w:eastAsia="Arial" w:hAnsi="Arial"/>
          <w:sz w:val="16"/>
          <w:szCs w:val="16"/>
          <w:color w:val="auto"/>
        </w:rPr>
        <w:t>The Governance and Compliance Committee used the guidelines described below to evaluate the current members of the Board. Based on its evaluation, the Governance and Compliance Committee recommended each of the current directors to be nominees for election by our shareholders at the Annual General Meeting. More information regarding each director nominee’s qualifications can be found in Proposal 1 later in this Proxy Statement.</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Director Nominations Process</w:t>
      </w:r>
    </w:p>
    <w:p>
      <w:pPr>
        <w:spacing w:after="0" w:line="126" w:lineRule="exact"/>
        <w:rPr>
          <w:sz w:val="20"/>
          <w:szCs w:val="20"/>
          <w:color w:val="auto"/>
        </w:rPr>
      </w:pPr>
    </w:p>
    <w:p>
      <w:pPr>
        <w:ind w:left="680" w:right="140"/>
        <w:spacing w:after="0" w:line="282" w:lineRule="auto"/>
        <w:rPr>
          <w:sz w:val="20"/>
          <w:szCs w:val="20"/>
          <w:color w:val="auto"/>
        </w:rPr>
      </w:pPr>
      <w:r>
        <w:rPr>
          <w:rFonts w:ascii="Arial" w:cs="Arial" w:eastAsia="Arial" w:hAnsi="Arial"/>
          <w:sz w:val="15"/>
          <w:szCs w:val="15"/>
          <w:color w:val="auto"/>
        </w:rPr>
        <w:t>The Governance and Compliance Committee is responsible for developing the general criteria, subject to approval by the full Board, used in identifying, evaluating and selecting qualified candidates for election or re-election to the Board. The Governance and Compliance Committee periodically reviews with the Board the appropriate skills and characteristics required of Board members in the context of the then-current make-up of the Board. Final approval of director candidates is determined by the full Board.</w:t>
      </w:r>
    </w:p>
    <w:p>
      <w:pPr>
        <w:spacing w:after="0" w:line="121" w:lineRule="exact"/>
        <w:rPr>
          <w:sz w:val="20"/>
          <w:szCs w:val="20"/>
          <w:color w:val="auto"/>
        </w:rPr>
      </w:pPr>
    </w:p>
    <w:p>
      <w:pPr>
        <w:ind w:left="680" w:right="120"/>
        <w:spacing w:after="0" w:line="254" w:lineRule="auto"/>
        <w:rPr>
          <w:sz w:val="20"/>
          <w:szCs w:val="20"/>
          <w:color w:val="auto"/>
        </w:rPr>
      </w:pPr>
      <w:r>
        <w:rPr>
          <w:rFonts w:ascii="Arial" w:cs="Arial" w:eastAsia="Arial" w:hAnsi="Arial"/>
          <w:sz w:val="16"/>
          <w:szCs w:val="16"/>
          <w:color w:val="auto"/>
        </w:rPr>
        <w:t>The Governance and Compliance Committee, in accordance with our Corporate Governance Guidelines, seeks to create and maintain a Board that is strong in its collective knowledge and has a diversity of backgrounds, skills and experience with respect to accounting and finance, management and leadership, vision and strategy, business operations, business judgment, industry knowledge, corporate governance and global markets. When the Governance and Compliance Committee reviews a potential new candidate, it looks specifically at the candidate’s qualifications in light of our needs and the needs of the Board at that time, given the then-current mix of director attributes.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 described in our Corporate Governance Guidelines:</w:t>
      </w:r>
    </w:p>
    <w:p>
      <w:pPr>
        <w:spacing w:after="0" w:line="86" w:lineRule="exact"/>
        <w:rPr>
          <w:sz w:val="20"/>
          <w:szCs w:val="20"/>
          <w:color w:val="auto"/>
        </w:rPr>
      </w:pPr>
    </w:p>
    <w:p>
      <w:pPr>
        <w:ind w:left="860" w:hanging="188"/>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Directors should be individuals of the highest ethical character and integrity;</w:t>
      </w:r>
    </w:p>
    <w:p>
      <w:pPr>
        <w:spacing w:after="0" w:line="86" w:lineRule="exact"/>
        <w:rPr>
          <w:rFonts w:ascii="Arial" w:cs="Arial" w:eastAsia="Arial" w:hAnsi="Arial"/>
          <w:sz w:val="16"/>
          <w:szCs w:val="16"/>
          <w:color w:val="auto"/>
        </w:rPr>
      </w:pPr>
    </w:p>
    <w:p>
      <w:pPr>
        <w:ind w:left="860" w:right="300" w:hanging="188"/>
        <w:spacing w:after="0" w:line="284"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Directors should have demonstrated management ability at senior levels in successful organizations, including as the chief executive officer of a company in a similar industry, or as the leader of a large, multifaceted organization, including government, educational and other non-profit organizations;</w:t>
      </w:r>
    </w:p>
    <w:p>
      <w:pPr>
        <w:spacing w:after="0" w:line="21" w:lineRule="exact"/>
        <w:rPr>
          <w:rFonts w:ascii="Arial" w:cs="Arial" w:eastAsia="Arial" w:hAnsi="Arial"/>
          <w:sz w:val="16"/>
          <w:szCs w:val="16"/>
          <w:color w:val="auto"/>
        </w:rPr>
      </w:pPr>
    </w:p>
    <w:p>
      <w:pPr>
        <w:ind w:left="860" w:right="120" w:hanging="188"/>
        <w:spacing w:after="0" w:line="286"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director should have the ability to provide wise, informed and thoughtful counsel to senior management on a range of issues and be able to express independent opinions, while at the same time working as a member of a team;</w:t>
      </w:r>
    </w:p>
    <w:p>
      <w:pPr>
        <w:spacing w:after="0" w:line="20" w:lineRule="exact"/>
        <w:rPr>
          <w:rFonts w:ascii="Arial" w:cs="Arial" w:eastAsia="Arial" w:hAnsi="Arial"/>
          <w:sz w:val="16"/>
          <w:szCs w:val="16"/>
          <w:color w:val="auto"/>
        </w:rPr>
      </w:pPr>
    </w:p>
    <w:p>
      <w:pPr>
        <w:ind w:left="860" w:right="220" w:hanging="188"/>
        <w:spacing w:after="0" w:line="304"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director should have qualifications to enable the Company to comply with its commitments and obligations, including under the Corporate Integrity Agreement;</w:t>
      </w:r>
    </w:p>
    <w:p>
      <w:pPr>
        <w:spacing w:after="0" w:line="6" w:lineRule="exact"/>
        <w:rPr>
          <w:rFonts w:ascii="Arial" w:cs="Arial" w:eastAsia="Arial" w:hAnsi="Arial"/>
          <w:sz w:val="16"/>
          <w:szCs w:val="16"/>
          <w:color w:val="auto"/>
        </w:rPr>
      </w:pPr>
    </w:p>
    <w:p>
      <w:pPr>
        <w:ind w:left="860" w:right="340" w:hanging="188"/>
        <w:spacing w:after="0" w:line="286"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Directors should be free from any conflict of interest or business or personal relationship that would interfere with their fiduciary duties to the Company; and</w:t>
      </w:r>
    </w:p>
    <w:p>
      <w:pPr>
        <w:spacing w:after="0" w:line="20" w:lineRule="exact"/>
        <w:rPr>
          <w:rFonts w:ascii="Arial" w:cs="Arial" w:eastAsia="Arial" w:hAnsi="Arial"/>
          <w:sz w:val="16"/>
          <w:szCs w:val="16"/>
          <w:color w:val="auto"/>
        </w:rPr>
      </w:pPr>
    </w:p>
    <w:p>
      <w:pPr>
        <w:ind w:left="860" w:right="120" w:hanging="188"/>
        <w:spacing w:after="0" w:line="304"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Directors should exercise independent judgment in carrying out their responsibilities as a director, having regard to the interests of shareholders as a whole.</w:t>
      </w:r>
    </w:p>
    <w:p>
      <w:pPr>
        <w:spacing w:after="0" w:line="114" w:lineRule="exact"/>
        <w:rPr>
          <w:sz w:val="20"/>
          <w:szCs w:val="20"/>
          <w:color w:val="auto"/>
        </w:rPr>
      </w:pPr>
    </w:p>
    <w:p>
      <w:pPr>
        <w:ind w:left="680" w:right="100"/>
        <w:spacing w:after="0" w:line="269" w:lineRule="auto"/>
        <w:rPr>
          <w:sz w:val="20"/>
          <w:szCs w:val="20"/>
          <w:color w:val="auto"/>
        </w:rPr>
      </w:pPr>
      <w:r>
        <w:rPr>
          <w:rFonts w:ascii="Arial" w:cs="Arial" w:eastAsia="Arial" w:hAnsi="Arial"/>
          <w:sz w:val="16"/>
          <w:szCs w:val="16"/>
          <w:color w:val="auto"/>
        </w:rPr>
        <w:t>The Governance and Compliance Committee will also consider nominations for director submitted by shareholders and will evaluate shareholder candidates in the same manner as candidates proposed from all other sources. To recommend a nominee for director, a shareholder must comply with the provisions relating to the advance notice of shareholders’ business and nominations set out in our Articles of Association and must submit the recommendation in writing to our Corporate Secretary at our registered office, Keenova Therapeutics plc, College Business &amp; Technology Park, Cruiserath, Blanchardstown, Dublin 15, D15 TX2V, Ireland.</w:t>
      </w:r>
    </w:p>
    <w:p>
      <w:pPr>
        <w:spacing w:after="0" w:line="143" w:lineRule="exact"/>
        <w:rPr>
          <w:sz w:val="20"/>
          <w:szCs w:val="20"/>
          <w:color w:val="auto"/>
        </w:rPr>
      </w:pPr>
    </w:p>
    <w:p>
      <w:pPr>
        <w:ind w:left="680" w:right="80"/>
        <w:spacing w:after="0" w:line="260" w:lineRule="auto"/>
        <w:rPr>
          <w:sz w:val="20"/>
          <w:szCs w:val="20"/>
          <w:color w:val="auto"/>
        </w:rPr>
      </w:pPr>
      <w:r>
        <w:rPr>
          <w:rFonts w:ascii="Arial" w:cs="Arial" w:eastAsia="Arial" w:hAnsi="Arial"/>
          <w:sz w:val="16"/>
          <w:szCs w:val="16"/>
          <w:color w:val="auto"/>
        </w:rPr>
        <w:t>Any such recommendation must include a written questionnaire with respect to the background and qualification of such nominee and the background of any other person or entity on whose behalf the nomination is being made, and a written representation and agreement (each in the form provided by the Corporate Secretary upon written request) that such person (A)(1) is not and will not become a party to (a)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and (b) any Voting Commitment that could limit or interfere with such individual’s ability to comply, if elected as a director of the Company, with such individual’s fiduciary duties under applicable law, (2)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(B) agrees to promptly provide the Company such other information as the Company may reasonably request and (C) in such individual’s personal capacity and on behalf of any person or entity on whose behalf, directly or indirectly, the nomination is being made, would be in compliance, if elected as a director of the Company, and will comply with all applicable corporate governance, conflict of interest, confidentiality and stock ownership and trading policies and guidelines of the Company publicly disclosed from time to time.</w:t>
      </w:r>
    </w:p>
    <w:p>
      <w:pPr>
        <w:spacing w:after="0" w:line="329" w:lineRule="exact"/>
        <w:rPr>
          <w:sz w:val="20"/>
          <w:szCs w:val="20"/>
          <w:color w:val="auto"/>
        </w:rPr>
      </w:pPr>
    </w:p>
    <w:p>
      <w:pPr>
        <w:ind w:left="680"/>
        <w:spacing w:after="0"/>
        <w:tabs>
          <w:tab w:leader="none" w:pos="5260" w:val="left"/>
          <w:tab w:leader="none" w:pos="10040" w:val="left"/>
        </w:tabs>
        <w:rPr>
          <w:sz w:val="20"/>
          <w:szCs w:val="20"/>
          <w:color w:val="auto"/>
        </w:rPr>
      </w:pPr>
      <w:r>
        <w:rPr>
          <w:rFonts w:ascii="Arial" w:cs="Arial" w:eastAsia="Arial" w:hAnsi="Arial"/>
          <w:sz w:val="13"/>
          <w:szCs w:val="13"/>
          <w:color w:val="323232"/>
        </w:rPr>
        <w:t>​10 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-43180</wp:posOffset>
            </wp:positionV>
            <wp:extent cx="44577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680"/>
        <w:spacing w:after="0"/>
        <w:rPr>
          <w:sz w:val="20"/>
          <w:szCs w:val="20"/>
          <w:color w:val="auto"/>
        </w:rPr>
      </w:pPr>
      <w:r>
        <w:rPr>
          <w:rFonts w:ascii="Arial" w:cs="Arial" w:eastAsia="Arial" w:hAnsi="Arial"/>
          <w:sz w:val="13"/>
          <w:szCs w:val="13"/>
          <w:color w:val="323232"/>
        </w:rPr>
        <w:t>Corporate Governance</w:t>
      </w:r>
    </w:p>
    <w:p>
      <w:pPr>
        <w:spacing w:after="0" w:line="200" w:lineRule="exact"/>
        <w:rPr>
          <w:sz w:val="20"/>
          <w:szCs w:val="20"/>
          <w:color w:val="auto"/>
        </w:rPr>
      </w:pPr>
    </w:p>
    <w:p>
      <w:pPr>
        <w:spacing w:after="0" w:line="216" w:lineRule="exact"/>
        <w:rPr>
          <w:sz w:val="20"/>
          <w:szCs w:val="20"/>
          <w:color w:val="auto"/>
        </w:rPr>
      </w:pPr>
    </w:p>
    <w:p>
      <w:pPr>
        <w:ind w:left="680" w:right="260"/>
        <w:spacing w:after="0" w:line="286" w:lineRule="auto"/>
        <w:rPr>
          <w:sz w:val="20"/>
          <w:szCs w:val="20"/>
          <w:color w:val="auto"/>
        </w:rPr>
      </w:pPr>
      <w:r>
        <w:rPr>
          <w:rFonts w:ascii="Arial" w:cs="Arial" w:eastAsia="Arial" w:hAnsi="Arial"/>
          <w:sz w:val="16"/>
          <w:szCs w:val="16"/>
          <w:color w:val="auto"/>
        </w:rPr>
        <w:t>The recommendation must also include documentary evidence of ownership of our ordinary shares, as well as the date the shares were acquired and the name and address of the shareholder, in each case, as required by our Articles of Association.</w:t>
      </w:r>
    </w:p>
    <w:p>
      <w:pPr>
        <w:spacing w:after="0" w:line="115" w:lineRule="exact"/>
        <w:rPr>
          <w:sz w:val="20"/>
          <w:szCs w:val="20"/>
          <w:color w:val="auto"/>
        </w:rPr>
      </w:pPr>
    </w:p>
    <w:p>
      <w:pPr>
        <w:ind w:left="680" w:right="40"/>
        <w:spacing w:after="0" w:line="267" w:lineRule="auto"/>
        <w:rPr>
          <w:sz w:val="20"/>
          <w:szCs w:val="20"/>
          <w:color w:val="auto"/>
        </w:rPr>
      </w:pPr>
      <w:r>
        <w:rPr>
          <w:rFonts w:ascii="Arial" w:cs="Arial" w:eastAsia="Arial" w:hAnsi="Arial"/>
          <w:sz w:val="15"/>
          <w:szCs w:val="15"/>
          <w:color w:val="auto"/>
        </w:rPr>
        <w:t>To be considered by the Governance and Compliance Committee for nomination and inclusion in our Proxy Statement for the 2027 Annual General Meeting, such shareholder recommendation for director must be received by our Corporate Secretary at our registered office not earlier than the close of business on February 2, 2027 and not later than the close of business on March 4, 2027; provided, that in the event the date of the 2027 Annual General Meeting is more than 30 days before or more than 60 days after the anniversary of the 2026 Annual General Meeting, notice must be received no earlier than the close of business on the 120th day prior to the date of the 2027 Annual General Meeting and no later than the close of business on the later of the 90th day prior to the date of the 2027 Annual General Meeting or, if the first public announcement of the date of the 2027 Annual General Meeting is less than 100 days prior to the date of the 2027 Annual General Meeting, the 10th day following the day on which public announcement of the date of the 2027 Annual General Meeting is first made. Once our Corporate Secretary receives the recommendation, we will deliver to the candidate a further questionnaire requesting additional information about the candidate’s independence, qualifications and other information that would assist the Governance and Compliance Committee in evaluating the candidate, as well as certain information that must be disclosed about the candidate in our Proxy Statement, if nominated. Candidates must complete and return the questionnaire within the time frame provided to be considered for nomination by the Governance and Compliance Committee.</w:t>
      </w:r>
    </w:p>
    <w:p>
      <w:pPr>
        <w:spacing w:after="0" w:line="138" w:lineRule="exact"/>
        <w:rPr>
          <w:sz w:val="20"/>
          <w:szCs w:val="20"/>
          <w:color w:val="auto"/>
        </w:rPr>
      </w:pPr>
    </w:p>
    <w:p>
      <w:pPr>
        <w:ind w:left="680" w:right="120"/>
        <w:spacing w:after="0" w:line="286" w:lineRule="auto"/>
        <w:rPr>
          <w:sz w:val="20"/>
          <w:szCs w:val="20"/>
          <w:color w:val="auto"/>
        </w:rPr>
      </w:pPr>
      <w:r>
        <w:rPr>
          <w:rFonts w:ascii="Arial" w:cs="Arial" w:eastAsia="Arial" w:hAnsi="Arial"/>
          <w:sz w:val="16"/>
          <w:szCs w:val="16"/>
          <w:color w:val="auto"/>
        </w:rPr>
        <w:t>The Governance and Compliance Committee may also receive suggestions for director candidates from others and, in its discretion, may also employ a third-party search firm to assist in identifying candidates for director.</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Majority Vote for Election of Directors</w:t>
      </w:r>
    </w:p>
    <w:p>
      <w:pPr>
        <w:spacing w:after="0" w:line="126" w:lineRule="exact"/>
        <w:rPr>
          <w:sz w:val="20"/>
          <w:szCs w:val="20"/>
          <w:color w:val="auto"/>
        </w:rPr>
      </w:pPr>
    </w:p>
    <w:p>
      <w:pPr>
        <w:ind w:left="680" w:right="40"/>
        <w:spacing w:after="0" w:line="253" w:lineRule="auto"/>
        <w:rPr>
          <w:sz w:val="20"/>
          <w:szCs w:val="20"/>
          <w:color w:val="auto"/>
        </w:rPr>
      </w:pPr>
      <w:r>
        <w:rPr>
          <w:rFonts w:ascii="Arial" w:cs="Arial" w:eastAsia="Arial" w:hAnsi="Arial"/>
          <w:sz w:val="16"/>
          <w:szCs w:val="16"/>
          <w:color w:val="auto"/>
        </w:rPr>
        <w:t>Pursuant to our Articles of Association, in uncontested elections, directors are elected by the affirmative vote of a majority of the votes cast by shareholders at an annual general meeting (present in person or by proxy) and serve for one-year terms. Any nominee for director who does not receive a majority of the votes cast is not elected to the Board and the position that would have been filled by such nominee will become vacant. Given that Irish law does not recognize the concept of a holdover director, incumbent directors who are subject to re-election who do not receive a majority of the votes cast at an annual general meeting are not re-elected to the Board, and immediately following such annual general meeting, will no longer be members of the Board unless re-appointed in accordance with our Articles of Association.</w:t>
      </w:r>
    </w:p>
    <w:p>
      <w:pPr>
        <w:spacing w:after="0" w:line="141" w:lineRule="exact"/>
        <w:rPr>
          <w:sz w:val="20"/>
          <w:szCs w:val="20"/>
          <w:color w:val="auto"/>
        </w:rPr>
      </w:pPr>
    </w:p>
    <w:p>
      <w:pPr>
        <w:ind w:left="680" w:right="180"/>
        <w:spacing w:after="0" w:line="259" w:lineRule="auto"/>
        <w:rPr>
          <w:sz w:val="20"/>
          <w:szCs w:val="20"/>
          <w:color w:val="auto"/>
        </w:rPr>
      </w:pPr>
      <w:r>
        <w:rPr>
          <w:rFonts w:ascii="Arial" w:cs="Arial" w:eastAsia="Arial" w:hAnsi="Arial"/>
          <w:sz w:val="16"/>
          <w:szCs w:val="16"/>
          <w:color w:val="auto"/>
        </w:rPr>
        <w:t>Irish law does require, however, a minimum of two directors at all times. If an election results in either only one or no directors receiving the required majority vote, either the nominee or each of the two nominees receiving the greatest number of votes in favor of his or her re-election shall, in accordance with our Articles of Association, be re-elected and hold office until such director’s successor(s) is elected.</w:t>
      </w:r>
    </w:p>
    <w:p>
      <w:pPr>
        <w:spacing w:after="0" w:line="151" w:lineRule="exact"/>
        <w:rPr>
          <w:sz w:val="20"/>
          <w:szCs w:val="20"/>
          <w:color w:val="auto"/>
        </w:rPr>
      </w:pPr>
    </w:p>
    <w:p>
      <w:pPr>
        <w:ind w:left="680" w:right="120"/>
        <w:spacing w:after="0" w:line="259" w:lineRule="auto"/>
        <w:rPr>
          <w:sz w:val="20"/>
          <w:szCs w:val="20"/>
          <w:color w:val="auto"/>
        </w:rPr>
      </w:pPr>
      <w:r>
        <w:rPr>
          <w:rFonts w:ascii="Arial" w:cs="Arial" w:eastAsia="Arial" w:hAnsi="Arial"/>
          <w:sz w:val="16"/>
          <w:szCs w:val="16"/>
          <w:color w:val="auto"/>
        </w:rPr>
        <w:t>Pursuant to our Articles of Association, in the event that the number of persons who are validly nominated for election or re-election as directors at any annual general meeting exceeds the maximum number of directors (i.e., a contested election), then those nominees in number equal to the available director positions who receive the highest number of votes in favor of their election by the shareholders at such annual general meeting (present in person or by proxy) shall be appointed.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Independence of Directors</w:t>
      </w:r>
    </w:p>
    <w:p>
      <w:pPr>
        <w:spacing w:after="0" w:line="112" w:lineRule="exact"/>
        <w:rPr>
          <w:sz w:val="20"/>
          <w:szCs w:val="20"/>
          <w:color w:val="auto"/>
        </w:rPr>
      </w:pPr>
    </w:p>
    <w:p>
      <w:pPr>
        <w:ind w:left="680" w:right="120"/>
        <w:spacing w:after="0" w:line="253" w:lineRule="auto"/>
        <w:rPr>
          <w:sz w:val="20"/>
          <w:szCs w:val="20"/>
          <w:color w:val="auto"/>
        </w:rPr>
      </w:pPr>
      <w:r>
        <w:rPr>
          <w:rFonts w:ascii="Arial" w:cs="Arial" w:eastAsia="Arial" w:hAnsi="Arial"/>
          <w:sz w:val="16"/>
          <w:szCs w:val="16"/>
          <w:color w:val="auto"/>
        </w:rPr>
        <w:t>The Board consists of a substantial majority of independent, non-employee directors. The Board has established guidelines for determining director independence that are consistent with the current listing standards of the NYSE. To be considered independent, a director must be determined by the Board to have no material relationship, directly or indirectly, with us. In assessing independence, the Board considers all relevant facts and circumstances. The Governance and Compliance Committee assesses independence and also monitors adherence by the members of the Board with the NYSE corporate governance listing standards for populating the Audit Committee, Human Resources and Compensation Committee (“HRCC”) and Governance and Compliance Committee.</w:t>
      </w:r>
    </w:p>
    <w:p>
      <w:pPr>
        <w:spacing w:after="0" w:line="154" w:lineRule="exact"/>
        <w:rPr>
          <w:sz w:val="20"/>
          <w:szCs w:val="20"/>
          <w:color w:val="auto"/>
        </w:rPr>
      </w:pPr>
    </w:p>
    <w:p>
      <w:pPr>
        <w:ind w:left="680" w:right="40"/>
        <w:spacing w:after="0" w:line="272" w:lineRule="auto"/>
        <w:rPr>
          <w:sz w:val="20"/>
          <w:szCs w:val="20"/>
          <w:color w:val="auto"/>
        </w:rPr>
      </w:pPr>
      <w:r>
        <w:rPr>
          <w:rFonts w:ascii="Arial" w:cs="Arial" w:eastAsia="Arial" w:hAnsi="Arial"/>
          <w:sz w:val="15"/>
          <w:szCs w:val="15"/>
          <w:color w:val="auto"/>
        </w:rPr>
        <w:t>The Board has considered the independence of its members in light of these criteria. Based on these considerations, the Board has determined that each of our directors, other than Sigurdur O. Olafsson, our President and CEO, and Scott Hirsch, who was employed by the Company for three months following the Business Combination, satisfies our independence criteria and is independent. Additionally, each of our then-incumbent directors who resigned on July 31, 2025, in connection with the completion of the Business Combination, was previously determined by the Board to have satisfied our independence criteria and deemed to independent. Each independent director must notify the chair of the Governance and Compliance Committee, as soon as reasonably practicable, of changes in such director’s personal circumstances that may affect the Board’s evaluation of the director’s independence.</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Executive Sessions of the Board</w:t>
      </w:r>
    </w:p>
    <w:p>
      <w:pPr>
        <w:spacing w:after="0" w:line="112" w:lineRule="exact"/>
        <w:rPr>
          <w:sz w:val="20"/>
          <w:szCs w:val="20"/>
          <w:color w:val="auto"/>
        </w:rPr>
      </w:pPr>
    </w:p>
    <w:p>
      <w:pPr>
        <w:ind w:left="680" w:right="180"/>
        <w:spacing w:after="0" w:line="286" w:lineRule="auto"/>
        <w:rPr>
          <w:sz w:val="20"/>
          <w:szCs w:val="20"/>
          <w:color w:val="auto"/>
        </w:rPr>
      </w:pPr>
      <w:r>
        <w:rPr>
          <w:rFonts w:ascii="Arial" w:cs="Arial" w:eastAsia="Arial" w:hAnsi="Arial"/>
          <w:sz w:val="16"/>
          <w:szCs w:val="16"/>
          <w:color w:val="auto"/>
        </w:rPr>
        <w:t>The independent directors generally meet in executive session, without members of management present, at such times as may be deemed appropriate. These executive sessions may include a discussion with our CEO.</w:t>
      </w:r>
    </w:p>
    <w:p>
      <w:pPr>
        <w:spacing w:after="0" w:line="149" w:lineRule="exact"/>
        <w:rPr>
          <w:sz w:val="20"/>
          <w:szCs w:val="20"/>
          <w:color w:val="auto"/>
        </w:rPr>
      </w:pPr>
    </w:p>
    <w:p>
      <w:pPr>
        <w:ind w:left="680"/>
        <w:spacing w:after="0"/>
        <w:tabs>
          <w:tab w:leader="none" w:pos="5220" w:val="left"/>
          <w:tab w:leader="none" w:pos="840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11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Corporate Governance</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Board Leadership Structure</w:t>
      </w:r>
    </w:p>
    <w:p>
      <w:pPr>
        <w:spacing w:after="0" w:line="112" w:lineRule="exact"/>
        <w:rPr>
          <w:sz w:val="20"/>
          <w:szCs w:val="20"/>
          <w:color w:val="auto"/>
        </w:rPr>
      </w:pPr>
    </w:p>
    <w:p>
      <w:pPr>
        <w:ind w:left="680"/>
        <w:spacing w:after="0" w:line="252" w:lineRule="auto"/>
        <w:rPr>
          <w:sz w:val="20"/>
          <w:szCs w:val="20"/>
          <w:color w:val="auto"/>
        </w:rPr>
      </w:pPr>
      <w:r>
        <w:rPr>
          <w:rFonts w:ascii="Arial" w:cs="Arial" w:eastAsia="Arial" w:hAnsi="Arial"/>
          <w:sz w:val="16"/>
          <w:szCs w:val="16"/>
          <w:color w:val="auto"/>
        </w:rPr>
        <w:t>Our Board believes it is important to retain flexibility to determine whether the interests of the Company and our shareholders are best served by having the same individual serve as both Chair of the Board and CEO, or by separating these roles, based on the circumstances at a given time. The positions of Chair of the Board and CEO are currently held separately. The Chair of the Board provides leadership to the Board and works with the Board to define its structure and activities in the fulfillment of its responsibilities. The Chair of the Board also sets the Board agendas with Board and management input, facilitates communication among directors, provides an appropriate information flow to the Board and presides at meetings of the Board and shareholders. Our Board determined that the foregoing Board leadership structure has served the best interest of the Company and its shareholders during the period of the Company’s significant transformation.</w:t>
      </w:r>
    </w:p>
    <w:p>
      <w:pPr>
        <w:spacing w:after="0" w:line="156" w:lineRule="exact"/>
        <w:rPr>
          <w:sz w:val="20"/>
          <w:szCs w:val="20"/>
          <w:color w:val="auto"/>
        </w:rPr>
      </w:pPr>
    </w:p>
    <w:p>
      <w:pPr>
        <w:ind w:left="680" w:right="80"/>
        <w:spacing w:after="0" w:line="268" w:lineRule="auto"/>
        <w:rPr>
          <w:sz w:val="20"/>
          <w:szCs w:val="20"/>
          <w:color w:val="auto"/>
        </w:rPr>
      </w:pPr>
      <w:r>
        <w:rPr>
          <w:rFonts w:ascii="Arial" w:cs="Arial" w:eastAsia="Arial" w:hAnsi="Arial"/>
          <w:sz w:val="15"/>
          <w:szCs w:val="15"/>
          <w:color w:val="auto"/>
        </w:rPr>
        <w:t>As previously announced, on February 23, 2026, our Board approved the Fourth Amended &amp; Restated Employment Agreement with Mr. Olafsson (“2026 CEO Agreement”), pursuant to which Mr. Olafsson will remain in his role as CEO until January 1, 2028 (the “Expiration Date”), and will be appointed as Chair of the Board not later than May 14, 2026. If a successor CEO is appointed prior to the Expiration Date, Mr. Olafsson’s role will transition to Executive Chair of the Board (“Executive Chair”). If the Company and</w:t>
      </w:r>
    </w:p>
    <w:p>
      <w:pPr>
        <w:spacing w:after="0" w:line="2" w:lineRule="exact"/>
        <w:rPr>
          <w:sz w:val="20"/>
          <w:szCs w:val="20"/>
          <w:color w:val="auto"/>
        </w:rPr>
      </w:pPr>
    </w:p>
    <w:p>
      <w:pPr>
        <w:ind w:left="680" w:right="100"/>
        <w:spacing w:after="0" w:line="262" w:lineRule="auto"/>
        <w:rPr>
          <w:sz w:val="20"/>
          <w:szCs w:val="20"/>
          <w:color w:val="auto"/>
        </w:rPr>
      </w:pPr>
      <w:r>
        <w:rPr>
          <w:rFonts w:ascii="Arial" w:cs="Arial" w:eastAsia="Arial" w:hAnsi="Arial"/>
          <w:sz w:val="15"/>
          <w:szCs w:val="15"/>
          <w:color w:val="auto"/>
        </w:rPr>
        <w:t>Mr. Olafsson do not mutually agree to extend the term of Mr. Olafsson’s employment prior to the Expiration Date, Mr. Olafsson’s service as CEO, Chair and/or Executive Chair, as applicable, shall automatically terminate on the Expiration Date, which termination shall constitute a termination by the Executive with Good Reason (as defined in the 2026 CEO Agreement). Our Board determined that having Mr. Olafsson serve as Chair or Executive Chair will provide unified leadership and direction in the management of the Company, contributing to cohesive, strong, and effective long-term vision and strategy. This perspective takes into account that</w:t>
      </w:r>
    </w:p>
    <w:p>
      <w:pPr>
        <w:spacing w:after="0" w:line="4" w:lineRule="exact"/>
        <w:rPr>
          <w:sz w:val="20"/>
          <w:szCs w:val="20"/>
          <w:color w:val="auto"/>
        </w:rPr>
      </w:pPr>
    </w:p>
    <w:p>
      <w:pPr>
        <w:ind w:left="680" w:right="40"/>
        <w:spacing w:after="0" w:line="265" w:lineRule="auto"/>
        <w:rPr>
          <w:sz w:val="20"/>
          <w:szCs w:val="20"/>
          <w:color w:val="auto"/>
        </w:rPr>
      </w:pPr>
      <w:r>
        <w:rPr>
          <w:rFonts w:ascii="Arial" w:cs="Arial" w:eastAsia="Arial" w:hAnsi="Arial"/>
          <w:sz w:val="16"/>
          <w:szCs w:val="16"/>
          <w:color w:val="auto"/>
        </w:rPr>
        <w:t>Mr. Olafsson has a deep understanding of the complexities of our business and operations and that his leadership was integral to the Company’s success as we navigated through our recent transformation.</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Future modification of the Board leadership structure will be made at the sole discretion of the Board.</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Code of Conduct</w:t>
      </w:r>
    </w:p>
    <w:p>
      <w:pPr>
        <w:spacing w:after="0" w:line="112" w:lineRule="exact"/>
        <w:rPr>
          <w:sz w:val="20"/>
          <w:szCs w:val="20"/>
          <w:color w:val="auto"/>
        </w:rPr>
      </w:pPr>
    </w:p>
    <w:p>
      <w:pPr>
        <w:ind w:left="680" w:right="260"/>
        <w:spacing w:after="0" w:line="256" w:lineRule="auto"/>
        <w:rPr>
          <w:sz w:val="20"/>
          <w:szCs w:val="20"/>
          <w:color w:val="auto"/>
        </w:rPr>
      </w:pPr>
      <w:r>
        <w:rPr>
          <w:rFonts w:ascii="Arial" w:cs="Arial" w:eastAsia="Arial" w:hAnsi="Arial"/>
          <w:sz w:val="16"/>
          <w:szCs w:val="16"/>
          <w:color w:val="auto"/>
        </w:rPr>
        <w:t xml:space="preserve">We have adopted the Keenova Code of Conduct, which meets the requirements of a “code of ethics” as defined in Item 406 of Regulation S-K. Our Code of Conduct applies to all employees, officers and directors of Keenova, including, without limitation, our CEO, Chief Financial Officer (“CFO”) and other senior financial officers, and is reviewed periodically by our Governance and Compliance Committee. Our Code of Conduct is posted on our website at </w:t>
      </w:r>
      <w:r>
        <w:rPr>
          <w:rFonts w:ascii="Arial" w:cs="Arial" w:eastAsia="Arial" w:hAnsi="Arial"/>
          <w:sz w:val="16"/>
          <w:szCs w:val="16"/>
          <w:i w:val="1"/>
          <w:iCs w:val="1"/>
          <w:color w:val="auto"/>
        </w:rPr>
        <w:t>www.keenova.com</w:t>
      </w:r>
      <w:r>
        <w:rPr>
          <w:rFonts w:ascii="Arial" w:cs="Arial" w:eastAsia="Arial" w:hAnsi="Arial"/>
          <w:sz w:val="16"/>
          <w:szCs w:val="16"/>
          <w:color w:val="auto"/>
        </w:rPr>
        <w:t xml:space="preserve"> under the heading “Company — Policies.”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Insider Trading Policy</w:t>
      </w:r>
    </w:p>
    <w:p>
      <w:pPr>
        <w:spacing w:after="0" w:line="126" w:lineRule="exact"/>
        <w:rPr>
          <w:sz w:val="20"/>
          <w:szCs w:val="20"/>
          <w:color w:val="auto"/>
        </w:rPr>
      </w:pPr>
    </w:p>
    <w:p>
      <w:pPr>
        <w:ind w:left="680" w:right="180"/>
        <w:spacing w:after="0" w:line="256" w:lineRule="auto"/>
        <w:rPr>
          <w:sz w:val="20"/>
          <w:szCs w:val="20"/>
          <w:color w:val="auto"/>
        </w:rPr>
      </w:pPr>
      <w:r>
        <w:rPr>
          <w:rFonts w:ascii="Arial" w:cs="Arial" w:eastAsia="Arial" w:hAnsi="Arial"/>
          <w:sz w:val="16"/>
          <w:szCs w:val="16"/>
          <w:color w:val="auto"/>
        </w:rPr>
        <w:t>We have adopted an insider trading policy that governs the purchase, sale and other dispositions and transactions in our securities by our directors, officers, employees and related persons, which is reasonably designed to promote compliance with insider trading laws, rules and regulations, a copy of which was filed as an exhibit to our Annual Report on Form 10-K for the fiscal year ended December 31, 2025. Transactions by us in our own securities are entered into after evaluation by our legal counsel for compliance with applicable securities laws.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Policies and Procedures Related to the Grant of Certain Equity Awards</w:t>
      </w:r>
    </w:p>
    <w:p>
      <w:pPr>
        <w:spacing w:after="0" w:line="126" w:lineRule="exact"/>
        <w:rPr>
          <w:sz w:val="20"/>
          <w:szCs w:val="20"/>
          <w:color w:val="auto"/>
        </w:rPr>
      </w:pPr>
    </w:p>
    <w:p>
      <w:pPr>
        <w:ind w:left="680"/>
        <w:spacing w:after="0" w:line="256" w:lineRule="auto"/>
        <w:rPr>
          <w:sz w:val="20"/>
          <w:szCs w:val="20"/>
          <w:color w:val="auto"/>
        </w:rPr>
      </w:pPr>
      <w:r>
        <w:rPr>
          <w:rFonts w:ascii="Arial" w:cs="Arial" w:eastAsia="Arial" w:hAnsi="Arial"/>
          <w:sz w:val="16"/>
          <w:szCs w:val="16"/>
          <w:color w:val="auto"/>
        </w:rPr>
        <w:t>We did not grant any awards of stock options, stock appreciation rights or similar option-like awards during fiscal 2025. In light of our current grant practices, we have not established any policies or practices on the timing of granting of stock options, stock appreciation rights or similar option-like awards in relation to the disclosure of material nonpublic information by us. We do not time the disclosure of material non-public information, or the granting of equity awards, for the purpose of impacting the value of executive compensation.</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Board Risk Oversight</w:t>
      </w:r>
    </w:p>
    <w:p>
      <w:pPr>
        <w:spacing w:after="0" w:line="112" w:lineRule="exact"/>
        <w:rPr>
          <w:sz w:val="20"/>
          <w:szCs w:val="20"/>
          <w:color w:val="auto"/>
        </w:rPr>
      </w:pPr>
    </w:p>
    <w:p>
      <w:pPr>
        <w:ind w:left="680" w:right="180"/>
        <w:spacing w:after="0" w:line="253" w:lineRule="auto"/>
        <w:rPr>
          <w:sz w:val="20"/>
          <w:szCs w:val="20"/>
          <w:color w:val="auto"/>
        </w:rPr>
      </w:pPr>
      <w:r>
        <w:rPr>
          <w:rFonts w:ascii="Arial" w:cs="Arial" w:eastAsia="Arial" w:hAnsi="Arial"/>
          <w:sz w:val="16"/>
          <w:szCs w:val="16"/>
          <w:color w:val="auto"/>
        </w:rPr>
        <w:t>Our Board oversees an enterprise-wide approach to risk management designed to support the achievement of organizational objectives, including strategic objectives, to improve long-term organizational performance and enhance shareholder value. A fundamental part of risk management is not only understanding the risks we face and what steps management is taking to manage those risks, but also understanding what level of risk is appropriate for us. The involvement of the full Board in approving our business strategy is a key part of its assessment of management’s appetite for risk and the determination of what constitutes an appropriate level of risk for us. In this process, risk is assessed throughout the business, focusing on three primary areas: financial risk; legal/compliance risk; and operational/strategic risk.</w:t>
      </w:r>
    </w:p>
    <w:p>
      <w:pPr>
        <w:spacing w:after="0" w:line="154" w:lineRule="exact"/>
        <w:rPr>
          <w:sz w:val="20"/>
          <w:szCs w:val="20"/>
          <w:color w:val="auto"/>
        </w:rPr>
      </w:pPr>
    </w:p>
    <w:p>
      <w:pPr>
        <w:jc w:val="both"/>
        <w:ind w:left="680" w:right="60"/>
        <w:spacing w:after="0" w:line="266" w:lineRule="auto"/>
        <w:rPr>
          <w:sz w:val="20"/>
          <w:szCs w:val="20"/>
          <w:color w:val="auto"/>
        </w:rPr>
      </w:pPr>
      <w:r>
        <w:rPr>
          <w:rFonts w:ascii="Arial" w:cs="Arial" w:eastAsia="Arial" w:hAnsi="Arial"/>
          <w:sz w:val="16"/>
          <w:szCs w:val="16"/>
          <w:color w:val="auto"/>
        </w:rPr>
        <w:t>While the full Board has the ultimate oversight responsibility for the risk management process, various committees of the Board also have responsibility for risk management. In particular, the Audit Committee oversees, conducts an annual assessment of and reports to the Board on our enterprise risk management program, focuses on financial risk, including internal controls over financial</w:t>
      </w:r>
    </w:p>
    <w:p>
      <w:pPr>
        <w:spacing w:after="0" w:line="308"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12  |  2026 Proxy Statement</w:t>
      </w:r>
      <w:r>
        <w:rPr>
          <w:sz w:val="20"/>
          <w:szCs w:val="20"/>
          <w:color w:val="auto"/>
        </w:rPr>
        <w:tab/>
      </w: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-43180</wp:posOffset>
            </wp:positionV>
            <wp:extent cx="44577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680"/>
        <w:spacing w:after="0"/>
        <w:rPr>
          <w:sz w:val="20"/>
          <w:szCs w:val="20"/>
          <w:color w:val="auto"/>
        </w:rPr>
      </w:pPr>
      <w:r>
        <w:rPr>
          <w:rFonts w:ascii="Arial" w:cs="Arial" w:eastAsia="Arial" w:hAnsi="Arial"/>
          <w:sz w:val="13"/>
          <w:szCs w:val="13"/>
          <w:color w:val="323232"/>
        </w:rPr>
        <w:t>Corporate Governance</w:t>
      </w:r>
    </w:p>
    <w:p>
      <w:pPr>
        <w:spacing w:after="0" w:line="200" w:lineRule="exact"/>
        <w:rPr>
          <w:sz w:val="20"/>
          <w:szCs w:val="20"/>
          <w:color w:val="auto"/>
        </w:rPr>
      </w:pPr>
    </w:p>
    <w:p>
      <w:pPr>
        <w:spacing w:after="0" w:line="216" w:lineRule="exact"/>
        <w:rPr>
          <w:sz w:val="20"/>
          <w:szCs w:val="20"/>
          <w:color w:val="auto"/>
        </w:rPr>
      </w:pPr>
    </w:p>
    <w:p>
      <w:pPr>
        <w:ind w:left="680" w:right="140"/>
        <w:spacing w:after="0" w:line="264" w:lineRule="auto"/>
        <w:rPr>
          <w:sz w:val="20"/>
          <w:szCs w:val="20"/>
          <w:color w:val="auto"/>
        </w:rPr>
      </w:pPr>
      <w:r>
        <w:rPr>
          <w:rFonts w:ascii="Arial" w:cs="Arial" w:eastAsia="Arial" w:hAnsi="Arial"/>
          <w:sz w:val="16"/>
          <w:szCs w:val="16"/>
          <w:color w:val="auto"/>
        </w:rPr>
        <w:t>reporting, and receives an annual risk assessment report from our internal auditors and oversees reporting requirements related to environmental, social and governance, including under Irish law. The Governance and Compliance Committee assists the Board in fulfilling its oversight responsibility with respect to regulatory, healthcare compliance, and best practices and public policy issues that affect us and works closely with our legal, compliance and regulatory groups. In addition, in setting compensation, the HRCC strives to create incentives that encourage an appropriate level of managed risk-taking behavior consistent with our business strategy. The full Board has primary oversight with respect to cybersecurity and information security-related risks, and management periodically reports on such matters to the Audit Committee.</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Sustainability</w:t>
      </w:r>
    </w:p>
    <w:p>
      <w:pPr>
        <w:spacing w:after="0" w:line="126" w:lineRule="exact"/>
        <w:rPr>
          <w:sz w:val="20"/>
          <w:szCs w:val="20"/>
          <w:color w:val="auto"/>
        </w:rPr>
      </w:pPr>
    </w:p>
    <w:p>
      <w:pPr>
        <w:ind w:left="680" w:right="140"/>
        <w:spacing w:after="0" w:line="264" w:lineRule="auto"/>
        <w:rPr>
          <w:sz w:val="20"/>
          <w:szCs w:val="20"/>
          <w:color w:val="auto"/>
        </w:rPr>
      </w:pPr>
      <w:r>
        <w:rPr>
          <w:rFonts w:ascii="Arial" w:cs="Arial" w:eastAsia="Arial" w:hAnsi="Arial"/>
          <w:sz w:val="16"/>
          <w:szCs w:val="16"/>
          <w:color w:val="auto"/>
        </w:rPr>
        <w:t>We strive to be a force for good. We are committed to doing more and are taking steps to ensure we operate and grow responsibly. We believe that sustainability practices are foundational to creating long-term value for all our stakeholders, including shareholders, patients, employees, customers and the communities in which we operate and live. Our Board of Directors oversees the incorporation of reasonable sustainability practices into its long-term strategy and risk management. At the operational level, our Head of Sustainability, in close collaboration with cross-functional leaders as appropriate, is responsible for strategy implementation, stakeholder engagement, disclosures, reporting and communications under the oversight our Executive Vice President and Chief Transformation Officer. Cross-functional working groups manage specific sustainability programs and initiatives to support progress and ensure accountability.</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Compensation Risk Assessment</w:t>
      </w:r>
    </w:p>
    <w:p>
      <w:pPr>
        <w:spacing w:after="0" w:line="126" w:lineRule="exact"/>
        <w:rPr>
          <w:sz w:val="20"/>
          <w:szCs w:val="20"/>
          <w:color w:val="auto"/>
        </w:rPr>
      </w:pPr>
    </w:p>
    <w:p>
      <w:pPr>
        <w:ind w:left="680" w:right="60"/>
        <w:spacing w:after="0" w:line="291" w:lineRule="auto"/>
        <w:rPr>
          <w:sz w:val="20"/>
          <w:szCs w:val="20"/>
          <w:color w:val="auto"/>
        </w:rPr>
      </w:pPr>
      <w:r>
        <w:rPr>
          <w:rFonts w:ascii="Arial" w:cs="Arial" w:eastAsia="Arial" w:hAnsi="Arial"/>
          <w:sz w:val="15"/>
          <w:szCs w:val="15"/>
          <w:color w:val="auto"/>
        </w:rPr>
        <w:t>At the direction of the HRCC, Keenova conducts annual risk assessments of its compensation policies and practices. For fiscal 2025, the HRCC’s independent compensation consultant assisted in this assessment, which consisted of a review of cash and equity compensation provided to our employees, including compensation payable to senior executives. The findings of this assessment were presented to and discussed with the HRCC, who reviewed the assessment. Based on the review, the HRCC concluded that our compensation policies and practices do not create risks that are reasonably likely to have a material adverse effect on the Company.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Transactions with Related Persons</w:t>
      </w:r>
    </w:p>
    <w:p>
      <w:pPr>
        <w:spacing w:after="0" w:line="126" w:lineRule="exact"/>
        <w:rPr>
          <w:sz w:val="20"/>
          <w:szCs w:val="20"/>
          <w:color w:val="auto"/>
        </w:rPr>
      </w:pPr>
    </w:p>
    <w:p>
      <w:pPr>
        <w:ind w:left="680" w:right="40"/>
        <w:spacing w:after="0" w:line="262" w:lineRule="auto"/>
        <w:rPr>
          <w:sz w:val="20"/>
          <w:szCs w:val="20"/>
          <w:color w:val="auto"/>
        </w:rPr>
      </w:pPr>
      <w:r>
        <w:rPr>
          <w:rFonts w:ascii="Arial" w:cs="Arial" w:eastAsia="Arial" w:hAnsi="Arial"/>
          <w:sz w:val="16"/>
          <w:szCs w:val="16"/>
          <w:color w:val="auto"/>
        </w:rPr>
        <w:t xml:space="preserve">Our Related Party Transaction Policy was adopted by our Board and is available on our website at </w:t>
      </w:r>
      <w:r>
        <w:rPr>
          <w:rFonts w:ascii="Arial" w:cs="Arial" w:eastAsia="Arial" w:hAnsi="Arial"/>
          <w:sz w:val="16"/>
          <w:szCs w:val="16"/>
          <w:i w:val="1"/>
          <w:iCs w:val="1"/>
          <w:color w:val="auto"/>
        </w:rPr>
        <w:t>investor.keenova.com/corporate-governance/highlights</w:t>
      </w:r>
      <w:r>
        <w:rPr>
          <w:rFonts w:ascii="Arial" w:cs="Arial" w:eastAsia="Arial" w:hAnsi="Arial"/>
          <w:sz w:val="16"/>
          <w:szCs w:val="16"/>
          <w:color w:val="auto"/>
        </w:rPr>
        <w:t>. Pursuant to this policy, our Governance and Compliance Committee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reviewing and approving transactions with related persons (as such transactions are defined by Item 404(b) of Regulation S-K), considering factors such as (i) whether the terms of the transaction are fair to our company, not inconsistent with the interests of our company and our shareholders and on the same basis as that would apply if the transaction did not involve a related person; (ii) whether there are business reasons for entering into the transaction; (iii) whether the transaction would impair director independence under NYSE and SEC standards; (iv) potential conflicts of interest; (v) availability of other sources of comparable products or services; (vi) the ongoing nature of any proposed relationship related to the transaction; and (vii) any other factors that the Governance and Compliance Committee deems relevant. After such transactions are approved, the Governance and Compliance Committee reviews and assesses ongoing relationships with the related persons to ensure that such transactions are in compliance with the Committee’s guidelines and that such transactions remain appropriate</w:t>
      </w:r>
      <w:r>
        <w:rPr>
          <w:rFonts w:ascii="Arial" w:cs="Arial" w:eastAsia="Arial" w:hAnsi="Arial"/>
          <w:sz w:val="16"/>
          <w:szCs w:val="16"/>
          <w:b w:val="1"/>
          <w:bCs w:val="1"/>
          <w:color w:val="auto"/>
        </w:rPr>
        <w:t>.</w:t>
      </w:r>
    </w:p>
    <w:p>
      <w:pPr>
        <w:spacing w:after="0" w:line="140" w:lineRule="exact"/>
        <w:rPr>
          <w:sz w:val="20"/>
          <w:szCs w:val="20"/>
          <w:color w:val="auto"/>
        </w:rPr>
      </w:pPr>
    </w:p>
    <w:p>
      <w:pPr>
        <w:ind w:left="680" w:right="260"/>
        <w:spacing w:after="0" w:line="268" w:lineRule="auto"/>
        <w:rPr>
          <w:sz w:val="20"/>
          <w:szCs w:val="20"/>
          <w:color w:val="auto"/>
        </w:rPr>
      </w:pPr>
      <w:r>
        <w:rPr>
          <w:rFonts w:ascii="Arial" w:cs="Arial" w:eastAsia="Arial" w:hAnsi="Arial"/>
          <w:sz w:val="16"/>
          <w:szCs w:val="16"/>
          <w:color w:val="auto"/>
        </w:rPr>
        <w:t>There were two related party transactions in 2025. On August 18, 2025, the Company sold 7,692 ordinary shares to Paul Efron, a member of the Board, in a private placement for an aggregate purchase price of $709,972, which was equal to the amount of cash Mr. Efron would have received in exchange for the cancelation of the aggregate number of outstanding RSUs in respect of Endo’s common stock held by Mr. Efron immediately prior to the Merger Effective Time. Additionally, Scott Hirsch, a member of the Board, received compensation pursuant to his Noncompetition and Consulting Agreement as described in the section entitled “Compensation of Non-Employee Directors — 2025 Director Compensation Table.”</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Communications with the Board of Directors</w:t>
      </w:r>
    </w:p>
    <w:p>
      <w:pPr>
        <w:spacing w:after="0" w:line="126" w:lineRule="exact"/>
        <w:rPr>
          <w:sz w:val="20"/>
          <w:szCs w:val="20"/>
          <w:color w:val="auto"/>
        </w:rPr>
      </w:pPr>
    </w:p>
    <w:p>
      <w:pPr>
        <w:ind w:left="680" w:right="280"/>
        <w:spacing w:after="0" w:line="263" w:lineRule="auto"/>
        <w:rPr>
          <w:sz w:val="20"/>
          <w:szCs w:val="20"/>
          <w:color w:val="auto"/>
        </w:rPr>
      </w:pPr>
      <w:r>
        <w:rPr>
          <w:rFonts w:ascii="Arial" w:cs="Arial" w:eastAsia="Arial" w:hAnsi="Arial"/>
          <w:sz w:val="16"/>
          <w:szCs w:val="16"/>
          <w:color w:val="auto"/>
        </w:rPr>
        <w:t xml:space="preserve">Shareholders and interested parties may communicate with the Board, individually or as a group, by submitting written communications to </w:t>
      </w:r>
      <w:r>
        <w:rPr>
          <w:rFonts w:ascii="Arial" w:cs="Arial" w:eastAsia="Arial" w:hAnsi="Arial"/>
          <w:sz w:val="16"/>
          <w:szCs w:val="16"/>
          <w:i w:val="1"/>
          <w:iCs w:val="1"/>
          <w:color w:val="auto"/>
        </w:rPr>
        <w:t>board.directors@keenova.com</w:t>
      </w:r>
      <w:r>
        <w:rPr>
          <w:rFonts w:ascii="Arial" w:cs="Arial" w:eastAsia="Arial" w:hAnsi="Arial"/>
          <w:sz w:val="16"/>
          <w:szCs w:val="16"/>
          <w:color w:val="auto"/>
        </w:rPr>
        <w:t xml:space="preserve">, or to a special address published on the Company’s website at </w:t>
      </w:r>
      <w:r>
        <w:rPr>
          <w:rFonts w:ascii="Arial" w:cs="Arial" w:eastAsia="Arial" w:hAnsi="Arial"/>
          <w:sz w:val="16"/>
          <w:szCs w:val="16"/>
          <w:i w:val="1"/>
          <w:iCs w:val="1"/>
          <w:color w:val="auto"/>
        </w:rPr>
        <w:t xml:space="preserve">www.keenova.com/company/contact-locations/#contact </w:t>
      </w:r>
      <w:r>
        <w:rPr>
          <w:rFonts w:ascii="Arial" w:cs="Arial" w:eastAsia="Arial" w:hAnsi="Arial"/>
          <w:sz w:val="16"/>
          <w:szCs w:val="16"/>
          <w:color w:val="auto"/>
        </w:rPr>
        <w:t>or by phone to a toll-free number published on the Company’s website at</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www.keenova.com/company/policies</w:t>
      </w:r>
      <w:r>
        <w:rPr>
          <w:rFonts w:ascii="Arial" w:cs="Arial" w:eastAsia="Arial" w:hAnsi="Arial"/>
          <w:sz w:val="16"/>
          <w:szCs w:val="16"/>
          <w:color w:val="auto"/>
        </w:rPr>
        <w:t>.</w:t>
      </w:r>
    </w:p>
    <w:p>
      <w:pPr>
        <w:spacing w:after="0" w:line="182" w:lineRule="exact"/>
        <w:rPr>
          <w:sz w:val="20"/>
          <w:szCs w:val="20"/>
          <w:color w:val="auto"/>
        </w:rPr>
      </w:pPr>
    </w:p>
    <w:p>
      <w:pPr>
        <w:ind w:left="680" w:right="360"/>
        <w:spacing w:after="0" w:line="269" w:lineRule="auto"/>
        <w:rPr>
          <w:sz w:val="20"/>
          <w:szCs w:val="20"/>
          <w:color w:val="auto"/>
        </w:rPr>
      </w:pPr>
      <w:r>
        <w:rPr>
          <w:rFonts w:ascii="Arial" w:cs="Arial" w:eastAsia="Arial" w:hAnsi="Arial"/>
          <w:sz w:val="16"/>
          <w:szCs w:val="16"/>
          <w:color w:val="auto"/>
        </w:rPr>
        <w:t>All communications will be reviewed initially by the Office of the Chief Legal Officer and Corporate Secretary, who will relay all communications to the appropriate director or directors unless the communication is (i) an advertisement or other commercial solicitation or communication, (ii) obviously frivolous or obscene or (iii) unduly hostile, threatening or illegal. The foregoing communications will not be forwarded but may be provided to law enforcement, as appropriate, and will be made available to any director who wishes to review them.</w:t>
      </w:r>
    </w:p>
    <w:p>
      <w:pPr>
        <w:spacing w:after="0" w:line="164"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13</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Corporate Governance</w:t>
      </w:r>
    </w:p>
    <w:p>
      <w:pPr>
        <w:spacing w:after="0" w:line="200" w:lineRule="exact"/>
        <w:rPr>
          <w:sz w:val="20"/>
          <w:szCs w:val="20"/>
          <w:color w:val="auto"/>
        </w:rPr>
      </w:pPr>
    </w:p>
    <w:p>
      <w:pPr>
        <w:spacing w:after="0" w:line="216" w:lineRule="exact"/>
        <w:rPr>
          <w:sz w:val="20"/>
          <w:szCs w:val="20"/>
          <w:color w:val="auto"/>
        </w:rPr>
      </w:pPr>
    </w:p>
    <w:p>
      <w:pPr>
        <w:ind w:left="680" w:right="40"/>
        <w:spacing w:after="0" w:line="265" w:lineRule="auto"/>
        <w:rPr>
          <w:sz w:val="20"/>
          <w:szCs w:val="20"/>
          <w:color w:val="auto"/>
        </w:rPr>
      </w:pPr>
      <w:r>
        <w:rPr>
          <w:rFonts w:ascii="Arial" w:cs="Arial" w:eastAsia="Arial" w:hAnsi="Arial"/>
          <w:sz w:val="16"/>
          <w:szCs w:val="16"/>
          <w:color w:val="auto"/>
        </w:rPr>
        <w:t>Directors may decide whether any of the communications addressed to their attention should be presented to the full Board, to one or more of its committees or to the Company’s management. Each director also has the discretion to determine whether a response to the person sending the communication is appropriate. Any response will be made through the Office of the Chief Legal Officer and Corporate Secretary in accordance with the Company’s policies and procedures and applicable law, and regulations relating to the disclosure of information.</w:t>
      </w:r>
    </w:p>
    <w:p>
      <w:pPr>
        <w:spacing w:after="0" w:line="145" w:lineRule="exact"/>
        <w:rPr>
          <w:sz w:val="20"/>
          <w:szCs w:val="20"/>
          <w:color w:val="auto"/>
        </w:rPr>
      </w:pPr>
    </w:p>
    <w:p>
      <w:pPr>
        <w:ind w:left="680" w:right="300"/>
        <w:spacing w:after="0" w:line="284" w:lineRule="auto"/>
        <w:rPr>
          <w:sz w:val="20"/>
          <w:szCs w:val="20"/>
          <w:color w:val="auto"/>
        </w:rPr>
      </w:pPr>
      <w:r>
        <w:rPr>
          <w:rFonts w:ascii="Arial" w:cs="Arial" w:eastAsia="Arial" w:hAnsi="Arial"/>
          <w:sz w:val="16"/>
          <w:szCs w:val="16"/>
          <w:color w:val="auto"/>
        </w:rPr>
        <w:t>The Company’s policy on communications from shareholders and interested parties is in addition to the policies and procedures established by the Company to address integrity concerns, including those related to the Company’s accounting, internal controls, auditing matters or other issues affecting the Company’s financial statements.</w:t>
      </w:r>
    </w:p>
    <w:p>
      <w:pPr>
        <w:spacing w:after="0" w:line="130" w:lineRule="exact"/>
        <w:rPr>
          <w:sz w:val="20"/>
          <w:szCs w:val="20"/>
          <w:color w:val="auto"/>
        </w:rPr>
      </w:pPr>
    </w:p>
    <w:p>
      <w:pPr>
        <w:ind w:left="680" w:right="60"/>
        <w:spacing w:after="0" w:line="286" w:lineRule="auto"/>
        <w:rPr>
          <w:sz w:val="20"/>
          <w:szCs w:val="20"/>
          <w:color w:val="auto"/>
        </w:rPr>
      </w:pPr>
      <w:r>
        <w:rPr>
          <w:rFonts w:ascii="Arial" w:cs="Arial" w:eastAsia="Arial" w:hAnsi="Arial"/>
          <w:sz w:val="16"/>
          <w:szCs w:val="16"/>
          <w:color w:val="auto"/>
        </w:rPr>
        <w:t>The Company’s Code of Conduct prohibits any employee or director from retaliating against anyone for raising an integrity concern in good faith or assisting in a related inquiry.</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Shareholder Engagement</w:t>
      </w:r>
    </w:p>
    <w:p>
      <w:pPr>
        <w:spacing w:after="0" w:line="126" w:lineRule="exact"/>
        <w:rPr>
          <w:sz w:val="20"/>
          <w:szCs w:val="20"/>
          <w:color w:val="auto"/>
        </w:rPr>
      </w:pPr>
    </w:p>
    <w:p>
      <w:pPr>
        <w:ind w:left="680" w:right="420"/>
        <w:spacing w:after="0" w:line="287" w:lineRule="auto"/>
        <w:rPr>
          <w:sz w:val="20"/>
          <w:szCs w:val="20"/>
          <w:color w:val="auto"/>
        </w:rPr>
      </w:pPr>
      <w:r>
        <w:rPr>
          <w:rFonts w:ascii="Arial" w:cs="Arial" w:eastAsia="Arial" w:hAnsi="Arial"/>
          <w:sz w:val="15"/>
          <w:szCs w:val="15"/>
          <w:color w:val="auto"/>
        </w:rPr>
        <w:t>It is and has been our practice for many years to compliantly engage with our investors on a routine basis as part of our investor relations program, during which the Company’s executives regularly meet with investors at both public conferences as well as in private meetings. Our engagement program focuses on overall performance of the business, particularly on subjects such as financial and commercial performance, research and development efforts, corporate strategy, capital allocation and business development, as well as corporate governance, social responsibility, executive compensation and other similar areas of interest.</w:t>
      </w:r>
    </w:p>
    <w:p>
      <w:pPr>
        <w:spacing w:after="0" w:line="130" w:lineRule="exact"/>
        <w:rPr>
          <w:sz w:val="20"/>
          <w:szCs w:val="20"/>
          <w:color w:val="auto"/>
        </w:rPr>
      </w:pPr>
    </w:p>
    <w:p>
      <w:pPr>
        <w:ind w:left="680" w:right="300"/>
        <w:spacing w:after="0" w:line="284" w:lineRule="auto"/>
        <w:rPr>
          <w:sz w:val="20"/>
          <w:szCs w:val="20"/>
          <w:color w:val="auto"/>
        </w:rPr>
      </w:pPr>
      <w:r>
        <w:rPr>
          <w:rFonts w:ascii="Arial" w:cs="Arial" w:eastAsia="Arial" w:hAnsi="Arial"/>
          <w:sz w:val="16"/>
          <w:szCs w:val="16"/>
          <w:color w:val="auto"/>
        </w:rPr>
        <w:t>We value our shareholders’ feedback and perspectives, and we are committed to continuing this broad scope of engagement with our shareholders across multiple channels, as we believe that the solicitation and consideration of shareholder views is a critical component of driving long-term value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​14 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7560"/>
        <w:spacing w:after="0"/>
        <w:rPr>
          <w:sz w:val="20"/>
          <w:szCs w:val="20"/>
          <w:color w:val="auto"/>
        </w:rPr>
      </w:pPr>
      <w:r>
        <w:rPr>
          <w:rFonts w:ascii="Arial" w:cs="Arial" w:eastAsia="Arial" w:hAnsi="Arial"/>
          <w:sz w:val="13"/>
          <w:szCs w:val="13"/>
          <w:color w:val="323232"/>
        </w:rPr>
        <w:t>Board of Directors and Board Committees</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Board of Directors and Board Committees</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General</w:t>
      </w:r>
    </w:p>
    <w:p>
      <w:pPr>
        <w:spacing w:after="0" w:line="126" w:lineRule="exact"/>
        <w:rPr>
          <w:sz w:val="20"/>
          <w:szCs w:val="20"/>
          <w:color w:val="auto"/>
        </w:rPr>
      </w:pPr>
    </w:p>
    <w:p>
      <w:pPr>
        <w:jc w:val="both"/>
        <w:ind w:left="680" w:right="380"/>
        <w:spacing w:after="0" w:line="284" w:lineRule="auto"/>
        <w:rPr>
          <w:sz w:val="20"/>
          <w:szCs w:val="20"/>
          <w:color w:val="auto"/>
        </w:rPr>
      </w:pPr>
      <w:r>
        <w:rPr>
          <w:rFonts w:ascii="Arial" w:cs="Arial" w:eastAsia="Arial" w:hAnsi="Arial"/>
          <w:sz w:val="16"/>
          <w:szCs w:val="16"/>
          <w:color w:val="auto"/>
        </w:rPr>
        <w:t>Our business, property and affairs are managed under the direction of the Board. Directors are kept informed about our business through discussions with the Chair of the Board and the CEO and other officers, by reviewing materials provided to them and by participating in meetings of the Board and its committees.</w:t>
      </w:r>
    </w:p>
    <w:p>
      <w:pPr>
        <w:spacing w:after="0" w:line="143" w:lineRule="exact"/>
        <w:rPr>
          <w:sz w:val="20"/>
          <w:szCs w:val="20"/>
          <w:color w:val="auto"/>
        </w:rPr>
      </w:pPr>
    </w:p>
    <w:p>
      <w:pPr>
        <w:ind w:left="680" w:right="100"/>
        <w:spacing w:after="0" w:line="278" w:lineRule="auto"/>
        <w:rPr>
          <w:sz w:val="20"/>
          <w:szCs w:val="20"/>
          <w:color w:val="auto"/>
        </w:rPr>
      </w:pPr>
      <w:r>
        <w:rPr>
          <w:rFonts w:ascii="Arial" w:cs="Arial" w:eastAsia="Arial" w:hAnsi="Arial"/>
          <w:sz w:val="16"/>
          <w:szCs w:val="16"/>
          <w:color w:val="auto"/>
        </w:rPr>
        <w:t>During fiscal 2025, the Board held 13 meetings, both in person and telephonically. During fiscal 2025, each of our incumbent directors attended 75% or more of the aggregate of the total number of (i) meetings of our Board (held during the period for which he or she was a director), and (ii) meetings held by all committees of our Board on which he or she served (during the period for which he or she served). Our Board members are expected to attend our Annual General Meeting. All of our directors who were members of the Board at the time attended our 2025 Annual General Meeting in person or by phone.</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Board Committees</w:t>
      </w:r>
    </w:p>
    <w:p>
      <w:pPr>
        <w:spacing w:after="0" w:line="112" w:lineRule="exact"/>
        <w:rPr>
          <w:sz w:val="20"/>
          <w:szCs w:val="20"/>
          <w:color w:val="auto"/>
        </w:rPr>
      </w:pPr>
    </w:p>
    <w:p>
      <w:pPr>
        <w:ind w:left="680" w:right="240"/>
        <w:spacing w:after="0" w:line="276" w:lineRule="auto"/>
        <w:rPr>
          <w:sz w:val="20"/>
          <w:szCs w:val="20"/>
          <w:color w:val="auto"/>
        </w:rPr>
      </w:pPr>
      <w:r>
        <w:rPr>
          <w:rFonts w:ascii="Arial" w:cs="Arial" w:eastAsia="Arial" w:hAnsi="Arial"/>
          <w:sz w:val="16"/>
          <w:szCs w:val="16"/>
          <w:color w:val="auto"/>
        </w:rPr>
        <w:t>The Board has three standing committees: a separately designated Audit Committee established in accordance with the Securities Exchange Act of 1934 (the “Exchange Act”); a Governance and Compliance Committee; and an HRCC. Membership and chairs of the committees are recommended to the Board by the Governance and Compliance Committee. The Board may establish other committees from time to time as it deems appropriate. The Memorandum and Articles of Association provide that members of committees of the Board are appointed by a majority of the Board (subject to customary exclusions of directors from meetings of committees considering affiliated transactions). The Board dissolved the Transaction Review Committee on July 31, 2025, in connection with the new Board and committee structure after the completion of the merger with Endo.</w:t>
      </w:r>
    </w:p>
    <w:p>
      <w:pPr>
        <w:spacing w:after="0" w:line="152" w:lineRule="exact"/>
        <w:rPr>
          <w:sz w:val="20"/>
          <w:szCs w:val="20"/>
          <w:color w:val="auto"/>
        </w:rPr>
      </w:pPr>
    </w:p>
    <w:p>
      <w:pPr>
        <w:ind w:left="680" w:right="80"/>
        <w:spacing w:after="0" w:line="292" w:lineRule="auto"/>
        <w:rPr>
          <w:sz w:val="20"/>
          <w:szCs w:val="20"/>
          <w:color w:val="auto"/>
        </w:rPr>
      </w:pPr>
      <w:r>
        <w:rPr>
          <w:rFonts w:ascii="Arial" w:cs="Arial" w:eastAsia="Arial" w:hAnsi="Arial"/>
          <w:sz w:val="16"/>
          <w:szCs w:val="16"/>
          <w:color w:val="auto"/>
        </w:rPr>
        <w:t xml:space="preserve">The committees report on their activities to the Board at each regular Board meeting. The table below provides standing committee membership information as of the date of this Proxy Statement. Each of these committees operates under a written charter approved by the Board, each of which is available on our website at </w:t>
      </w:r>
      <w:r>
        <w:rPr>
          <w:rFonts w:ascii="Arial" w:cs="Arial" w:eastAsia="Arial" w:hAnsi="Arial"/>
          <w:sz w:val="16"/>
          <w:szCs w:val="16"/>
          <w:i w:val="1"/>
          <w:iCs w:val="1"/>
          <w:color w:val="auto"/>
        </w:rPr>
        <w:t>investor.keenova.com/corporate-governance/highlights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114300</wp:posOffset>
            </wp:positionV>
            <wp:extent cx="5966460" cy="360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6460" cy="360045"/>
                    </a:xfrm>
                    <a:prstGeom prst="rect">
                      <a:avLst/>
                    </a:prstGeom>
                    <a:noFill/>
                  </pic:spPr>
                </pic:pic>
              </a:graphicData>
            </a:graphic>
          </wp:anchor>
        </w:drawing>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Governance and</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Human Resources and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2"/>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Audit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Compliance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20" w:type="dxa"/>
            <w:vAlign w:val="bottom"/>
          </w:tcPr>
          <w:p>
            <w:pPr>
              <w:ind w:left="60"/>
              <w:spacing w:after="0" w:line="172" w:lineRule="exact"/>
              <w:rPr>
                <w:sz w:val="20"/>
                <w:szCs w:val="20"/>
                <w:color w:val="auto"/>
              </w:rPr>
            </w:pPr>
            <w:r>
              <w:rPr>
                <w:rFonts w:ascii="Arial" w:cs="Arial" w:eastAsia="Arial" w:hAnsi="Arial"/>
                <w:sz w:val="14"/>
                <w:szCs w:val="14"/>
                <w:b w:val="1"/>
                <w:bCs w:val="1"/>
                <w:color w:val="auto"/>
              </w:rPr>
              <w:t>​Directors</w:t>
            </w:r>
            <w:r>
              <w:rPr>
                <w:rFonts w:ascii="Arial" w:cs="Arial" w:eastAsia="Arial" w:hAnsi="Arial"/>
                <w:sz w:val="17"/>
                <w:szCs w:val="17"/>
                <w:b w:val="1"/>
                <w:bCs w:val="1"/>
                <w:color w:val="auto"/>
                <w:vertAlign w:val="superscript"/>
              </w:rPr>
              <w:t>(1)</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9"/>
              </w:rPr>
              <w:t>Committee</w:t>
            </w:r>
            <w:r>
              <w:rPr>
                <w:rFonts w:ascii="Arial" w:cs="Arial" w:eastAsia="Arial" w:hAnsi="Arial"/>
                <w:sz w:val="17"/>
                <w:szCs w:val="17"/>
                <w:b w:val="1"/>
                <w:bCs w:val="1"/>
                <w:color w:val="auto"/>
                <w:w w:val="99"/>
                <w:vertAlign w:val="superscript"/>
              </w:rPr>
              <w:t>(3)</w:t>
            </w:r>
          </w:p>
        </w:tc>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9"/>
              </w:rPr>
              <w:t>Committee</w:t>
            </w:r>
            <w:r>
              <w:rPr>
                <w:rFonts w:ascii="Arial" w:cs="Arial" w:eastAsia="Arial" w:hAnsi="Arial"/>
                <w:sz w:val="17"/>
                <w:szCs w:val="17"/>
                <w:b w:val="1"/>
                <w:bCs w:val="1"/>
                <w:color w:val="auto"/>
                <w:w w:val="99"/>
                <w:vertAlign w:val="superscript"/>
              </w:rPr>
              <w:t>(4)</w:t>
            </w:r>
          </w:p>
        </w:tc>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center"/>
              <w:ind w:left="2"/>
              <w:spacing w:after="0" w:line="172" w:lineRule="exact"/>
              <w:rPr>
                <w:sz w:val="20"/>
                <w:szCs w:val="20"/>
                <w:color w:val="auto"/>
              </w:rPr>
            </w:pPr>
            <w:r>
              <w:rPr>
                <w:rFonts w:ascii="Arial" w:cs="Arial" w:eastAsia="Arial" w:hAnsi="Arial"/>
                <w:sz w:val="14"/>
                <w:szCs w:val="14"/>
                <w:b w:val="1"/>
                <w:bCs w:val="1"/>
                <w:color w:val="auto"/>
                <w:w w:val="97"/>
              </w:rPr>
              <w:t>Committee</w:t>
            </w:r>
            <w:r>
              <w:rPr>
                <w:rFonts w:ascii="Arial" w:cs="Arial" w:eastAsia="Arial" w:hAnsi="Arial"/>
                <w:sz w:val="17"/>
                <w:szCs w:val="17"/>
                <w:b w:val="1"/>
                <w:bCs w:val="1"/>
                <w:color w:val="auto"/>
                <w:w w:val="97"/>
                <w:vertAlign w:val="superscript"/>
              </w:rPr>
              <w:t>(5)</w:t>
            </w:r>
          </w:p>
        </w:tc>
        <w:tc>
          <w:tcPr>
            <w:tcW w:w="100" w:type="dxa"/>
            <w:vAlign w:val="bottom"/>
            <w:gridSpan w:val="3"/>
          </w:tcPr>
          <w:p>
            <w:pPr>
              <w:ind w:left="40"/>
              <w:spacing w:after="0"/>
              <w:rPr>
                <w:sz w:val="20"/>
                <w:szCs w:val="20"/>
                <w:color w:val="auto"/>
              </w:rPr>
            </w:pPr>
            <w:r>
              <w:rPr>
                <w:rFonts w:ascii="Arial" w:cs="Arial" w:eastAsia="Arial" w:hAnsi="Arial"/>
                <w:sz w:val="14"/>
                <w:szCs w:val="14"/>
                <w:b w:val="1"/>
                <w:bCs w:val="1"/>
                <w:color w:val="auto"/>
              </w:rPr>
              <w:t>​</w:t>
            </w:r>
          </w:p>
        </w:tc>
      </w:tr>
      <w:tr>
        <w:trPr>
          <w:trHeight w:val="310"/>
        </w:trPr>
        <w:tc>
          <w:tcPr>
            <w:tcW w:w="1420" w:type="dxa"/>
            <w:vAlign w:val="bottom"/>
            <w:tcBorders>
              <w:bottom w:val="single" w:sz="8" w:color="auto"/>
            </w:tcBorders>
          </w:tcPr>
          <w:p>
            <w:pPr>
              <w:ind w:left="60"/>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Marc Yoskowitz</w:t>
            </w:r>
          </w:p>
        </w:tc>
        <w:tc>
          <w:tcPr>
            <w:tcW w:w="420" w:type="dxa"/>
            <w:vAlign w:val="bottom"/>
            <w:tcBorders>
              <w:bottom w:val="single" w:sz="8" w:color="auto"/>
            </w:tcBorders>
          </w:tcPr>
          <w:p>
            <w:pPr>
              <w:ind w:left="40"/>
              <w:spacing w:after="0" w:line="310" w:lineRule="exact"/>
              <w:rPr>
                <w:sz w:val="20"/>
                <w:szCs w:val="20"/>
                <w:color w:val="auto"/>
              </w:rPr>
            </w:pPr>
            <w:r>
              <w:rPr>
                <w:rFonts w:ascii="Arial" w:cs="Arial" w:eastAsia="Arial" w:hAnsi="Arial"/>
                <w:sz w:val="10"/>
                <w:szCs w:val="10"/>
                <w:color w:val="auto"/>
              </w:rPr>
              <w:t>(1)</w:t>
            </w:r>
            <w:r>
              <w:rPr>
                <w:rFonts w:ascii="Arial" w:cs="Arial" w:eastAsia="Arial" w:hAnsi="Arial"/>
                <w:sz w:val="32"/>
                <w:szCs w:val="32"/>
                <w:color w:val="auto"/>
                <w:vertAlign w:val="subscript"/>
              </w:rPr>
              <w:t xml:space="preserve"> </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75"/>
        </w:trPr>
        <w:tc>
          <w:tcPr>
            <w:tcW w:w="1420" w:type="dxa"/>
            <w:vAlign w:val="bottom"/>
          </w:tcPr>
          <w:p>
            <w:pPr>
              <w:ind w:left="60"/>
              <w:spacing w:after="0"/>
              <w:rPr>
                <w:sz w:val="20"/>
                <w:szCs w:val="20"/>
                <w:color w:val="auto"/>
              </w:rPr>
            </w:pPr>
            <w:r>
              <w:rPr>
                <w:rFonts w:ascii="Arial" w:cs="Arial" w:eastAsia="Arial" w:hAnsi="Arial"/>
                <w:sz w:val="16"/>
                <w:szCs w:val="16"/>
                <w:color w:val="auto"/>
              </w:rPr>
              <w:t>​Paul M. Bisaro</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ind w:left="300"/>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100" w:type="dxa"/>
            <w:vAlign w:val="bottom"/>
            <w:gridSpan w:val="3"/>
          </w:tcPr>
          <w:p>
            <w:pPr>
              <w:ind w:left="40"/>
              <w:spacing w:after="0"/>
              <w:rPr>
                <w:sz w:val="20"/>
                <w:szCs w:val="20"/>
                <w:color w:val="auto"/>
              </w:rPr>
            </w:pPr>
            <w:r>
              <w:rPr>
                <w:rFonts w:ascii="Arial" w:cs="Arial" w:eastAsia="Arial" w:hAnsi="Arial"/>
                <w:sz w:val="16"/>
                <w:szCs w:val="16"/>
                <w:color w:val="auto"/>
              </w:rPr>
              <w:t>​</w:t>
            </w:r>
          </w:p>
        </w:tc>
      </w:tr>
      <w:tr>
        <w:trPr>
          <w:trHeight w:val="70"/>
        </w:trPr>
        <w:tc>
          <w:tcPr>
            <w:tcW w:w="1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r>
      <w:tr>
        <w:trPr>
          <w:trHeight w:val="277"/>
        </w:trPr>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​Leslie Donato</w:t>
            </w:r>
            <w:r>
              <w:rPr>
                <w:rFonts w:ascii="Arial" w:cs="Arial" w:eastAsia="Arial" w:hAnsi="Arial"/>
                <w:sz w:val="19"/>
                <w:szCs w:val="19"/>
                <w:color w:val="auto"/>
                <w:vertAlign w:val="superscript"/>
              </w:rPr>
              <w:t>(1)</w:t>
            </w: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75"/>
        </w:trPr>
        <w:tc>
          <w:tcPr>
            <w:tcW w:w="1420" w:type="dxa"/>
            <w:vAlign w:val="bottom"/>
          </w:tcPr>
          <w:p>
            <w:pPr>
              <w:ind w:left="60"/>
              <w:spacing w:after="0"/>
              <w:rPr>
                <w:sz w:val="20"/>
                <w:szCs w:val="20"/>
                <w:color w:val="auto"/>
              </w:rPr>
            </w:pPr>
            <w:r>
              <w:rPr>
                <w:rFonts w:ascii="Arial" w:cs="Arial" w:eastAsia="Arial" w:hAnsi="Arial"/>
                <w:sz w:val="16"/>
                <w:szCs w:val="16"/>
                <w:color w:val="auto"/>
              </w:rPr>
              <w:t>​Katina Dorton</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ind w:left="3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23"/>
                <w:szCs w:val="23"/>
                <w:color w:val="auto"/>
              </w:rPr>
            </w:pPr>
          </w:p>
        </w:tc>
        <w:tc>
          <w:tcPr>
            <w:tcW w:w="100" w:type="dxa"/>
            <w:vAlign w:val="bottom"/>
            <w:gridSpan w:val="3"/>
          </w:tcPr>
          <w:p>
            <w:pPr>
              <w:ind w:left="40"/>
              <w:spacing w:after="0"/>
              <w:rPr>
                <w:sz w:val="20"/>
                <w:szCs w:val="20"/>
                <w:color w:val="auto"/>
              </w:rPr>
            </w:pPr>
            <w:r>
              <w:rPr>
                <w:rFonts w:ascii="Arial" w:cs="Arial" w:eastAsia="Arial" w:hAnsi="Arial"/>
                <w:sz w:val="16"/>
                <w:szCs w:val="16"/>
                <w:color w:val="auto"/>
              </w:rPr>
              <w:t>​</w:t>
            </w:r>
          </w:p>
        </w:tc>
      </w:tr>
      <w:tr>
        <w:trPr>
          <w:trHeight w:val="70"/>
        </w:trPr>
        <w:tc>
          <w:tcPr>
            <w:tcW w:w="1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r>
      <w:tr>
        <w:trPr>
          <w:trHeight w:val="277"/>
        </w:trPr>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​Paul Efron</w:t>
            </w:r>
            <w:r>
              <w:rPr>
                <w:rFonts w:ascii="Arial" w:cs="Arial" w:eastAsia="Arial" w:hAnsi="Arial"/>
                <w:sz w:val="19"/>
                <w:szCs w:val="19"/>
                <w:color w:val="auto"/>
                <w:vertAlign w:val="superscript"/>
              </w:rPr>
              <w:t>(1)</w:t>
            </w: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308"/>
        </w:trPr>
        <w:tc>
          <w:tcPr>
            <w:tcW w:w="1420" w:type="dxa"/>
            <w:vAlign w:val="bottom"/>
          </w:tcPr>
          <w:p>
            <w:pPr>
              <w:ind w:left="60"/>
              <w:spacing w:after="0"/>
              <w:rPr>
                <w:sz w:val="20"/>
                <w:szCs w:val="20"/>
                <w:color w:val="auto"/>
              </w:rPr>
            </w:pPr>
            <w:r>
              <w:rPr>
                <w:rFonts w:ascii="Arial" w:cs="Arial" w:eastAsia="Arial" w:hAnsi="Arial"/>
                <w:sz w:val="16"/>
                <w:szCs w:val="16"/>
                <w:color w:val="auto"/>
              </w:rPr>
              <w:t>​Sophia Langlois</w:t>
            </w:r>
            <w:r>
              <w:rPr>
                <w:rFonts w:ascii="Arial" w:cs="Arial" w:eastAsia="Arial" w:hAnsi="Arial"/>
                <w:sz w:val="19"/>
                <w:szCs w:val="19"/>
                <w:color w:val="auto"/>
                <w:vertAlign w:val="superscript"/>
              </w:rPr>
              <w:t>(1)</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ind w:left="3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100" w:type="dxa"/>
            <w:vAlign w:val="bottom"/>
            <w:gridSpan w:val="3"/>
          </w:tcPr>
          <w:p>
            <w:pPr>
              <w:ind w:left="40"/>
              <w:spacing w:after="0"/>
              <w:rPr>
                <w:sz w:val="20"/>
                <w:szCs w:val="20"/>
                <w:color w:val="auto"/>
              </w:rPr>
            </w:pPr>
            <w:r>
              <w:rPr>
                <w:rFonts w:ascii="Arial" w:cs="Arial" w:eastAsia="Arial" w:hAnsi="Arial"/>
                <w:sz w:val="16"/>
                <w:szCs w:val="16"/>
                <w:color w:val="auto"/>
              </w:rPr>
              <w:t>​</w:t>
            </w:r>
          </w:p>
        </w:tc>
      </w:tr>
      <w:tr>
        <w:trPr>
          <w:trHeight w:val="36"/>
        </w:trPr>
        <w:tc>
          <w:tcPr>
            <w:tcW w:w="1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248"/>
        </w:trPr>
        <w:tc>
          <w:tcPr>
            <w:tcW w:w="1420" w:type="dxa"/>
            <w:vAlign w:val="bottom"/>
          </w:tcPr>
          <w:p>
            <w:pPr>
              <w:ind w:left="60"/>
              <w:spacing w:after="0"/>
              <w:rPr>
                <w:sz w:val="20"/>
                <w:szCs w:val="20"/>
                <w:color w:val="auto"/>
              </w:rPr>
            </w:pPr>
            <w:r>
              <w:rPr>
                <w:rFonts w:ascii="Arial" w:cs="Arial" w:eastAsia="Arial" w:hAnsi="Arial"/>
                <w:sz w:val="16"/>
                <w:szCs w:val="16"/>
                <w:color w:val="auto"/>
              </w:rPr>
              <w:t>​Jonathan Zinman</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ind w:left="3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1"/>
                <w:szCs w:val="21"/>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100" w:type="dxa"/>
            <w:vAlign w:val="bottom"/>
            <w:gridSpan w:val="3"/>
          </w:tcPr>
          <w:p>
            <w:pPr>
              <w:ind w:left="40"/>
              <w:spacing w:after="0"/>
              <w:rPr>
                <w:sz w:val="20"/>
                <w:szCs w:val="20"/>
                <w:color w:val="auto"/>
              </w:rPr>
            </w:pPr>
            <w:r>
              <w:rPr>
                <w:rFonts w:ascii="Arial" w:cs="Arial" w:eastAsia="Arial" w:hAnsi="Arial"/>
                <w:sz w:val="16"/>
                <w:szCs w:val="16"/>
                <w:color w:val="auto"/>
              </w:rPr>
              <w:t>​</w:t>
            </w:r>
          </w:p>
        </w:tc>
      </w:tr>
      <w:tr>
        <w:trPr>
          <w:trHeight w:val="29"/>
        </w:trPr>
        <w:tc>
          <w:tcPr>
            <w:tcW w:w="34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7"/>
        </w:trPr>
        <w:tc>
          <w:tcPr>
            <w:tcW w:w="3400" w:type="dxa"/>
            <w:vAlign w:val="bottom"/>
            <w:gridSpan w:val="5"/>
          </w:tcPr>
          <w:p>
            <w:pPr>
              <w:ind w:left="60"/>
              <w:spacing w:after="0"/>
              <w:rPr>
                <w:sz w:val="20"/>
                <w:szCs w:val="20"/>
                <w:color w:val="auto"/>
              </w:rPr>
            </w:pPr>
            <w:r>
              <w:rPr>
                <w:rFonts w:ascii="Arial" w:cs="Arial" w:eastAsia="Arial" w:hAnsi="Arial"/>
                <w:sz w:val="16"/>
                <w:szCs w:val="16"/>
                <w:b w:val="1"/>
                <w:bCs w:val="1"/>
                <w:color w:val="auto"/>
              </w:rPr>
              <w:t>​Number of Meetings Held in Fiscal 2025</w:t>
            </w:r>
            <w:r>
              <w:rPr>
                <w:rFonts w:ascii="Arial" w:cs="Arial" w:eastAsia="Arial" w:hAnsi="Arial"/>
                <w:sz w:val="19"/>
                <w:szCs w:val="19"/>
                <w:b w:val="1"/>
                <w:bCs w:val="1"/>
                <w:color w:val="auto"/>
                <w:vertAlign w:val="superscript"/>
              </w:rPr>
              <w:t>(2)</w:t>
            </w: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11</w:t>
            </w:r>
          </w:p>
        </w:tc>
        <w:tc>
          <w:tcPr>
            <w:tcW w:w="34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542"/>
              <w:spacing w:after="0"/>
              <w:rPr>
                <w:sz w:val="20"/>
                <w:szCs w:val="20"/>
                <w:color w:val="auto"/>
              </w:rPr>
            </w:pPr>
            <w:r>
              <w:rPr>
                <w:rFonts w:ascii="Arial" w:cs="Arial" w:eastAsia="Arial" w:hAnsi="Arial"/>
                <w:sz w:val="16"/>
                <w:szCs w:val="16"/>
                <w:b w:val="1"/>
                <w:bCs w:val="1"/>
                <w:color w:val="auto"/>
              </w:rPr>
              <w:t>5</w:t>
            </w:r>
          </w:p>
        </w:tc>
        <w:tc>
          <w:tcPr>
            <w:tcW w:w="34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662"/>
              <w:spacing w:after="0"/>
              <w:rPr>
                <w:sz w:val="20"/>
                <w:szCs w:val="20"/>
                <w:color w:val="auto"/>
              </w:rPr>
            </w:pPr>
            <w:r>
              <w:rPr>
                <w:rFonts w:ascii="Arial" w:cs="Arial" w:eastAsia="Arial" w:hAnsi="Arial"/>
                <w:sz w:val="16"/>
                <w:szCs w:val="16"/>
                <w:b w:val="1"/>
                <w:bCs w:val="1"/>
                <w:color w:val="auto"/>
              </w:rPr>
              <w:t>5</w:t>
            </w:r>
          </w:p>
        </w:tc>
        <w:tc>
          <w:tcPr>
            <w:tcW w:w="100" w:type="dxa"/>
            <w:vAlign w:val="bottom"/>
            <w:gridSpan w:val="3"/>
          </w:tcPr>
          <w:p>
            <w:pPr>
              <w:ind w:left="40"/>
              <w:spacing w:after="0"/>
              <w:rPr>
                <w:sz w:val="20"/>
                <w:szCs w:val="20"/>
                <w:color w:val="auto"/>
              </w:rPr>
            </w:pPr>
            <w:r>
              <w:rPr>
                <w:rFonts w:ascii="Arial" w:cs="Arial" w:eastAsia="Arial" w:hAnsi="Arial"/>
                <w:sz w:val="16"/>
                <w:szCs w:val="16"/>
                <w:b w:val="1"/>
                <w:bCs w:val="1"/>
                <w:color w:val="auto"/>
              </w:rPr>
              <w:t>​</w:t>
            </w:r>
          </w:p>
        </w:tc>
      </w:tr>
      <w:tr>
        <w:trPr>
          <w:trHeight w:val="478"/>
        </w:trPr>
        <w:tc>
          <w:tcPr>
            <w:tcW w:w="18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6"/>
                <w:szCs w:val="16"/>
                <w:color w:val="auto"/>
              </w:rPr>
              <w:t>Chair of the Board</w:t>
            </w:r>
          </w:p>
        </w:tc>
        <w:tc>
          <w:tcPr>
            <w:tcW w:w="40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 Chair</w:t>
            </w:r>
          </w:p>
        </w:tc>
        <w:tc>
          <w:tcPr>
            <w:tcW w:w="38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 Member</w:t>
            </w: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gridSpan w:val="2"/>
          </w:tcPr>
          <w:p>
            <w:pPr>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-1944370</wp:posOffset>
            </wp:positionV>
            <wp:extent cx="5966460" cy="1954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6460" cy="1954530"/>
                    </a:xfrm>
                    <a:prstGeom prst="rect">
                      <a:avLst/>
                    </a:prstGeom>
                    <a:noFill/>
                  </pic:spPr>
                </pic:pic>
              </a:graphicData>
            </a:graphic>
          </wp:anchor>
        </w:drawing>
      </w:r>
    </w:p>
    <w:p>
      <w:pPr>
        <w:spacing w:after="0" w:line="347" w:lineRule="exact"/>
        <w:rPr>
          <w:sz w:val="20"/>
          <w:szCs w:val="20"/>
          <w:color w:val="auto"/>
        </w:rPr>
      </w:pPr>
    </w:p>
    <w:p>
      <w:pPr>
        <w:ind w:left="1040" w:right="80" w:hanging="368"/>
        <w:spacing w:after="0" w:line="258" w:lineRule="auto"/>
        <w:tabs>
          <w:tab w:leader="none" w:pos="10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Each of Mr. Yoskowitz, Ms. Donato, Mr. Efron and Ms. Langlois was appointed as a director of the Company on July 31, 2025. Mr. Bisaro served as Chair of the Board from February 2, 2024 to July 31, 2025, Mr. Efron served as Chair of the Board from July 31, 2025 to September 17, 2025, and</w:t>
      </w:r>
    </w:p>
    <w:p>
      <w:pPr>
        <w:spacing w:after="0" w:line="1" w:lineRule="exact"/>
        <w:rPr>
          <w:rFonts w:ascii="Arial" w:cs="Arial" w:eastAsia="Arial" w:hAnsi="Arial"/>
          <w:sz w:val="13"/>
          <w:szCs w:val="13"/>
          <w:color w:val="auto"/>
        </w:rPr>
      </w:pPr>
    </w:p>
    <w:p>
      <w:pPr>
        <w:ind w:left="1040"/>
        <w:spacing w:after="0"/>
        <w:rPr>
          <w:rFonts w:ascii="Arial" w:cs="Arial" w:eastAsia="Arial" w:hAnsi="Arial"/>
          <w:sz w:val="13"/>
          <w:szCs w:val="13"/>
          <w:color w:val="auto"/>
        </w:rPr>
      </w:pPr>
      <w:r>
        <w:rPr>
          <w:rFonts w:ascii="Arial" w:cs="Arial" w:eastAsia="Arial" w:hAnsi="Arial"/>
          <w:sz w:val="13"/>
          <w:szCs w:val="13"/>
          <w:color w:val="auto"/>
        </w:rPr>
        <w:t>Mr. Yoskowitz was appointed Chair of the Board on September 17, 2025.</w:t>
      </w:r>
    </w:p>
    <w:p>
      <w:pPr>
        <w:spacing w:after="0" w:line="81" w:lineRule="exact"/>
        <w:rPr>
          <w:rFonts w:ascii="Arial" w:cs="Arial" w:eastAsia="Arial" w:hAnsi="Arial"/>
          <w:sz w:val="13"/>
          <w:szCs w:val="13"/>
          <w:color w:val="auto"/>
        </w:rPr>
      </w:pPr>
    </w:p>
    <w:p>
      <w:pPr>
        <w:ind w:left="1040" w:right="80" w:hanging="368"/>
        <w:spacing w:after="0" w:line="281" w:lineRule="auto"/>
        <w:tabs>
          <w:tab w:leader="none" w:pos="10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Transaction Review Committee was dissolved on July 31, 2025, in connection with the new Board and committee structure and the completion of the merger with Endo. The Transaction Review Committee held two meetings in fiscal 2025.</w:t>
      </w:r>
    </w:p>
    <w:p>
      <w:pPr>
        <w:spacing w:after="0" w:line="41" w:lineRule="exact"/>
        <w:rPr>
          <w:rFonts w:ascii="Arial" w:cs="Arial" w:eastAsia="Arial" w:hAnsi="Arial"/>
          <w:sz w:val="13"/>
          <w:szCs w:val="13"/>
          <w:color w:val="auto"/>
        </w:rPr>
      </w:pPr>
    </w:p>
    <w:p>
      <w:pPr>
        <w:ind w:left="1040" w:right="60" w:hanging="368"/>
        <w:spacing w:after="0" w:line="302" w:lineRule="auto"/>
        <w:tabs>
          <w:tab w:leader="none" w:pos="10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Ms. Dorton served as the Chair of the Audit Committee from February 2, 2024 to July 31, 2025. Ms. Langlois was appointed Chair of the Audit Committee on July 31, 2025.</w:t>
      </w:r>
    </w:p>
    <w:p>
      <w:pPr>
        <w:spacing w:after="0" w:line="28" w:lineRule="exact"/>
        <w:rPr>
          <w:rFonts w:ascii="Arial" w:cs="Arial" w:eastAsia="Arial" w:hAnsi="Arial"/>
          <w:sz w:val="13"/>
          <w:szCs w:val="13"/>
          <w:color w:val="auto"/>
        </w:rPr>
      </w:pPr>
    </w:p>
    <w:p>
      <w:pPr>
        <w:ind w:left="1040" w:right="60" w:hanging="368"/>
        <w:spacing w:after="0" w:line="281" w:lineRule="auto"/>
        <w:tabs>
          <w:tab w:leader="none" w:pos="10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David Stetson served as the Chair of the Governance and Compliance Committee from October 4, 2024 to July 31, 2025. Mr. Bisaro was appointed Chair of the Governance and Compliance Committee on July 31, 2025.</w:t>
      </w:r>
    </w:p>
    <w:p>
      <w:pPr>
        <w:spacing w:after="0" w:line="41" w:lineRule="exact"/>
        <w:rPr>
          <w:rFonts w:ascii="Arial" w:cs="Arial" w:eastAsia="Arial" w:hAnsi="Arial"/>
          <w:sz w:val="13"/>
          <w:szCs w:val="13"/>
          <w:color w:val="auto"/>
        </w:rPr>
      </w:pPr>
    </w:p>
    <w:p>
      <w:pPr>
        <w:ind w:left="1040" w:right="320" w:hanging="368"/>
        <w:spacing w:after="0" w:line="302" w:lineRule="auto"/>
        <w:tabs>
          <w:tab w:leader="none" w:pos="10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Abbas Hussain served as the Chair of the Human Resources and Compensation Committee from February 2, 2024 to July 31, 2025. Ms. Dorton was appointed Chair of the Human Resources and Compensation on July 31, 2025.</w:t>
      </w:r>
    </w:p>
    <w:p>
      <w:pPr>
        <w:sectPr>
          <w:pgSz w:w="11900" w:h="16838" w:orient="portrait"/>
          <w:cols w:equalWidth="0" w:num="1">
            <w:col w:w="10100"/>
          </w:cols>
          <w:pgMar w:left="580" w:top="97" w:right="1219" w:bottom="1440" w:gutter="0" w:footer="0" w:header="0"/>
        </w:sectPr>
      </w:pPr>
    </w:p>
    <w:p>
      <w:pPr>
        <w:spacing w:after="0" w:line="129"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15</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266065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Board of Directors and Board Committees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36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Committee</w:t>
            </w:r>
          </w:p>
        </w:tc>
        <w:tc>
          <w:tcPr>
            <w:tcW w:w="7120" w:type="dxa"/>
            <w:vAlign w:val="bottom"/>
            <w:tcBorders>
              <w:bottom w:val="single" w:sz="8" w:color="auto"/>
            </w:tcBorders>
            <w:gridSpan w:val="3"/>
          </w:tcPr>
          <w:p>
            <w:pPr>
              <w:ind w:left="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Responsibilities and Composition</w:t>
            </w:r>
            <w:r>
              <w:rPr>
                <w:rFonts w:ascii="Arial" w:cs="Arial" w:eastAsia="Arial" w:hAnsi="Arial"/>
                <w:sz w:val="17"/>
                <w:szCs w:val="17"/>
                <w:b w:val="1"/>
                <w:bCs w:val="1"/>
                <w:color w:val="auto"/>
                <w:vertAlign w:val="superscript"/>
              </w:rPr>
              <w:t>(1)</w:t>
            </w: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r>
      <w:tr>
        <w:trPr>
          <w:trHeight w:val="196"/>
        </w:trPr>
        <w:tc>
          <w:tcPr>
            <w:tcW w:w="2160" w:type="dxa"/>
            <w:vAlign w:val="bottom"/>
          </w:tcPr>
          <w:p>
            <w:pPr>
              <w:ind w:left="2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4"/>
                <w:szCs w:val="14"/>
                <w:b w:val="1"/>
                <w:bCs w:val="1"/>
                <w:color w:val="auto"/>
              </w:rPr>
              <w:t xml:space="preserve"> Audit Committee</w:t>
            </w:r>
          </w:p>
        </w:tc>
        <w:tc>
          <w:tcPr>
            <w:tcW w:w="1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840" w:type="dxa"/>
            <w:vAlign w:val="bottom"/>
          </w:tcPr>
          <w:p>
            <w:pPr>
              <w:ind w:left="100"/>
              <w:spacing w:after="0"/>
              <w:rPr>
                <w:sz w:val="20"/>
                <w:szCs w:val="20"/>
                <w:color w:val="auto"/>
              </w:rPr>
            </w:pPr>
            <w:r>
              <w:rPr>
                <w:rFonts w:ascii="Arial" w:cs="Arial" w:eastAsia="Arial" w:hAnsi="Arial"/>
                <w:sz w:val="16"/>
                <w:szCs w:val="16"/>
                <w:color w:val="auto"/>
              </w:rPr>
              <w:t>The Audit Committee monitors the integrity of our financial statements, the independence and</w:t>
            </w:r>
          </w:p>
        </w:tc>
        <w:tc>
          <w:tcPr>
            <w:tcW w:w="120" w:type="dxa"/>
            <w:vAlign w:val="bottom"/>
          </w:tcPr>
          <w:p>
            <w:pPr>
              <w:spacing w:after="0"/>
              <w:rPr>
                <w:sz w:val="20"/>
                <w:szCs w:val="20"/>
                <w:color w:val="auto"/>
              </w:rPr>
            </w:pPr>
            <w:r>
              <w:rPr>
                <w:rFonts w:ascii="Arial" w:cs="Arial" w:eastAsia="Arial" w:hAnsi="Arial"/>
                <w:sz w:val="16"/>
                <w:szCs w:val="16"/>
                <w:color w:val="auto"/>
              </w:rPr>
              <w:t>​</w:t>
            </w: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qualifications of the independent auditors, the performance of our internal auditors and</w:t>
            </w:r>
          </w:p>
        </w:tc>
        <w:tc>
          <w:tcPr>
            <w:tcW w:w="120" w:type="dxa"/>
            <w:vAlign w:val="bottom"/>
          </w:tcPr>
          <w:p>
            <w:pPr>
              <w:spacing w:after="0"/>
              <w:rPr>
                <w:sz w:val="15"/>
                <w:szCs w:val="15"/>
                <w:color w:val="auto"/>
              </w:rPr>
            </w:pPr>
          </w:p>
        </w:tc>
      </w:tr>
      <w:tr>
        <w:trPr>
          <w:trHeight w:val="189"/>
        </w:trPr>
        <w:tc>
          <w:tcPr>
            <w:tcW w:w="2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ind w:left="100"/>
              <w:spacing w:after="0"/>
              <w:rPr>
                <w:sz w:val="20"/>
                <w:szCs w:val="20"/>
                <w:color w:val="auto"/>
              </w:rPr>
            </w:pPr>
            <w:r>
              <w:rPr>
                <w:rFonts w:ascii="Arial" w:cs="Arial" w:eastAsia="Arial" w:hAnsi="Arial"/>
                <w:sz w:val="16"/>
                <w:szCs w:val="16"/>
                <w:color w:val="auto"/>
              </w:rPr>
              <w:t>independent auditors, our compliance with certain legal and regulatory requirements and the</w:t>
            </w:r>
          </w:p>
        </w:tc>
        <w:tc>
          <w:tcPr>
            <w:tcW w:w="120" w:type="dxa"/>
            <w:vAlign w:val="bottom"/>
          </w:tcPr>
          <w:p>
            <w:pPr>
              <w:spacing w:after="0"/>
              <w:rPr>
                <w:sz w:val="16"/>
                <w:szCs w:val="16"/>
                <w:color w:val="auto"/>
              </w:rPr>
            </w:pP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effectiveness of our internal controls. The Audit Committee is responsible for selecting,</w:t>
            </w:r>
          </w:p>
        </w:tc>
        <w:tc>
          <w:tcPr>
            <w:tcW w:w="120" w:type="dxa"/>
            <w:vAlign w:val="bottom"/>
          </w:tcPr>
          <w:p>
            <w:pPr>
              <w:spacing w:after="0"/>
              <w:rPr>
                <w:sz w:val="15"/>
                <w:szCs w:val="15"/>
                <w:color w:val="auto"/>
              </w:rPr>
            </w:pPr>
          </w:p>
        </w:tc>
      </w:tr>
      <w:tr>
        <w:trPr>
          <w:trHeight w:val="176"/>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retaining, evaluating, setting the remuneration of and, if appropriate, recommending the</w:t>
            </w:r>
          </w:p>
        </w:tc>
        <w:tc>
          <w:tcPr>
            <w:tcW w:w="120" w:type="dxa"/>
            <w:vAlign w:val="bottom"/>
          </w:tcPr>
          <w:p>
            <w:pPr>
              <w:spacing w:after="0"/>
              <w:rPr>
                <w:sz w:val="15"/>
                <w:szCs w:val="15"/>
                <w:color w:val="auto"/>
              </w:rPr>
            </w:pPr>
          </w:p>
        </w:tc>
      </w:tr>
      <w:tr>
        <w:trPr>
          <w:trHeight w:val="189"/>
        </w:trPr>
        <w:tc>
          <w:tcPr>
            <w:tcW w:w="2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ind w:left="100"/>
              <w:spacing w:after="0"/>
              <w:rPr>
                <w:sz w:val="20"/>
                <w:szCs w:val="20"/>
                <w:color w:val="auto"/>
              </w:rPr>
            </w:pPr>
            <w:r>
              <w:rPr>
                <w:rFonts w:ascii="Arial" w:cs="Arial" w:eastAsia="Arial" w:hAnsi="Arial"/>
                <w:sz w:val="16"/>
                <w:szCs w:val="16"/>
                <w:color w:val="auto"/>
              </w:rPr>
              <w:t>termination of our independent auditors to the Board. The current members of the Audit</w:t>
            </w:r>
          </w:p>
        </w:tc>
        <w:tc>
          <w:tcPr>
            <w:tcW w:w="120" w:type="dxa"/>
            <w:vAlign w:val="bottom"/>
          </w:tcPr>
          <w:p>
            <w:pPr>
              <w:spacing w:after="0"/>
              <w:rPr>
                <w:sz w:val="16"/>
                <w:szCs w:val="16"/>
                <w:color w:val="auto"/>
              </w:rPr>
            </w:pP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Committee are Sophia Langlois, Katina Dorton and Jonathan Zinman. Each of them is</w:t>
            </w:r>
          </w:p>
        </w:tc>
        <w:tc>
          <w:tcPr>
            <w:tcW w:w="120" w:type="dxa"/>
            <w:vAlign w:val="bottom"/>
          </w:tcPr>
          <w:p>
            <w:pPr>
              <w:spacing w:after="0"/>
              <w:rPr>
                <w:sz w:val="15"/>
                <w:szCs w:val="15"/>
                <w:color w:val="auto"/>
              </w:rPr>
            </w:pPr>
          </w:p>
        </w:tc>
      </w:tr>
      <w:tr>
        <w:trPr>
          <w:trHeight w:val="176"/>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independent under SEC rules and NYSE corporate governance listing standards applicable to</w:t>
            </w:r>
          </w:p>
        </w:tc>
        <w:tc>
          <w:tcPr>
            <w:tcW w:w="120" w:type="dxa"/>
            <w:vAlign w:val="bottom"/>
          </w:tcPr>
          <w:p>
            <w:pPr>
              <w:spacing w:after="0"/>
              <w:rPr>
                <w:sz w:val="15"/>
                <w:szCs w:val="15"/>
                <w:color w:val="auto"/>
              </w:rPr>
            </w:pPr>
          </w:p>
        </w:tc>
      </w:tr>
      <w:tr>
        <w:trPr>
          <w:trHeight w:val="189"/>
        </w:trPr>
        <w:tc>
          <w:tcPr>
            <w:tcW w:w="2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ind w:left="100"/>
              <w:spacing w:after="0"/>
              <w:rPr>
                <w:sz w:val="20"/>
                <w:szCs w:val="20"/>
                <w:color w:val="auto"/>
              </w:rPr>
            </w:pPr>
            <w:r>
              <w:rPr>
                <w:rFonts w:ascii="Arial" w:cs="Arial" w:eastAsia="Arial" w:hAnsi="Arial"/>
                <w:sz w:val="16"/>
                <w:szCs w:val="16"/>
                <w:color w:val="auto"/>
              </w:rPr>
              <w:t>audit committee members and each of them is financially literate. Sophia Langlois is the Chair</w:t>
            </w:r>
          </w:p>
        </w:tc>
        <w:tc>
          <w:tcPr>
            <w:tcW w:w="120" w:type="dxa"/>
            <w:vAlign w:val="bottom"/>
          </w:tcPr>
          <w:p>
            <w:pPr>
              <w:spacing w:after="0"/>
              <w:rPr>
                <w:sz w:val="16"/>
                <w:szCs w:val="16"/>
                <w:color w:val="auto"/>
              </w:rPr>
            </w:pP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of the Audit Committee. The Board has determined that each of Sophia Langlois and Katina</w:t>
            </w:r>
          </w:p>
        </w:tc>
        <w:tc>
          <w:tcPr>
            <w:tcW w:w="120" w:type="dxa"/>
            <w:vAlign w:val="bottom"/>
          </w:tcPr>
          <w:p>
            <w:pPr>
              <w:spacing w:after="0"/>
              <w:rPr>
                <w:sz w:val="15"/>
                <w:szCs w:val="15"/>
                <w:color w:val="auto"/>
              </w:rPr>
            </w:pPr>
          </w:p>
        </w:tc>
      </w:tr>
      <w:tr>
        <w:trPr>
          <w:trHeight w:val="176"/>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Dorton is an audit committee financial expert. Katina Dorton serves on three public company</w:t>
            </w:r>
          </w:p>
        </w:tc>
        <w:tc>
          <w:tcPr>
            <w:tcW w:w="120" w:type="dxa"/>
            <w:vAlign w:val="bottom"/>
          </w:tcPr>
          <w:p>
            <w:pPr>
              <w:spacing w:after="0"/>
              <w:rPr>
                <w:sz w:val="15"/>
                <w:szCs w:val="15"/>
                <w:color w:val="auto"/>
              </w:rPr>
            </w:pPr>
          </w:p>
        </w:tc>
      </w:tr>
      <w:tr>
        <w:trPr>
          <w:trHeight w:val="189"/>
        </w:trPr>
        <w:tc>
          <w:tcPr>
            <w:tcW w:w="2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ind w:left="100"/>
              <w:spacing w:after="0"/>
              <w:rPr>
                <w:sz w:val="20"/>
                <w:szCs w:val="20"/>
                <w:color w:val="auto"/>
              </w:rPr>
            </w:pPr>
            <w:r>
              <w:rPr>
                <w:rFonts w:ascii="Arial" w:cs="Arial" w:eastAsia="Arial" w:hAnsi="Arial"/>
                <w:sz w:val="16"/>
                <w:szCs w:val="16"/>
                <w:color w:val="auto"/>
              </w:rPr>
              <w:t>audit committees in addition to being a member of our Audit Committee. The Board has</w:t>
            </w:r>
          </w:p>
        </w:tc>
        <w:tc>
          <w:tcPr>
            <w:tcW w:w="120" w:type="dxa"/>
            <w:vAlign w:val="bottom"/>
          </w:tcPr>
          <w:p>
            <w:pPr>
              <w:spacing w:after="0"/>
              <w:rPr>
                <w:sz w:val="16"/>
                <w:szCs w:val="16"/>
                <w:color w:val="auto"/>
              </w:rPr>
            </w:pP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100"/>
              <w:spacing w:after="0" w:line="175" w:lineRule="exact"/>
              <w:rPr>
                <w:sz w:val="20"/>
                <w:szCs w:val="20"/>
                <w:color w:val="auto"/>
              </w:rPr>
            </w:pPr>
            <w:r>
              <w:rPr>
                <w:rFonts w:ascii="Arial" w:cs="Arial" w:eastAsia="Arial" w:hAnsi="Arial"/>
                <w:sz w:val="16"/>
                <w:szCs w:val="16"/>
                <w:color w:val="auto"/>
              </w:rPr>
              <w:t>determined that this simultaneous service would not impair Katina Dorton’s ability to effectively</w:t>
            </w:r>
          </w:p>
        </w:tc>
        <w:tc>
          <w:tcPr>
            <w:tcW w:w="120" w:type="dxa"/>
            <w:vAlign w:val="bottom"/>
          </w:tcPr>
          <w:p>
            <w:pPr>
              <w:spacing w:after="0"/>
              <w:rPr>
                <w:sz w:val="15"/>
                <w:szCs w:val="15"/>
                <w:color w:val="auto"/>
              </w:rPr>
            </w:pPr>
          </w:p>
        </w:tc>
      </w:tr>
      <w:tr>
        <w:trPr>
          <w:trHeight w:val="215"/>
        </w:trPr>
        <w:tc>
          <w:tcPr>
            <w:tcW w:w="21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6"/>
                <w:szCs w:val="16"/>
                <w:color w:val="auto"/>
              </w:rPr>
              <w:t>serve on our Audit Committee.</w:t>
            </w:r>
          </w:p>
        </w:tc>
        <w:tc>
          <w:tcPr>
            <w:tcW w:w="120" w:type="dxa"/>
            <w:vAlign w:val="bottom"/>
          </w:tcPr>
          <w:p>
            <w:pPr>
              <w:spacing w:after="0"/>
              <w:rPr>
                <w:sz w:val="18"/>
                <w:szCs w:val="18"/>
                <w:color w:val="auto"/>
              </w:rPr>
            </w:pPr>
          </w:p>
        </w:tc>
      </w:tr>
      <w:tr>
        <w:trPr>
          <w:trHeight w:val="43"/>
        </w:trPr>
        <w:tc>
          <w:tcPr>
            <w:tcW w:w="216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96"/>
        </w:trPr>
        <w:tc>
          <w:tcPr>
            <w:tcW w:w="2160" w:type="dxa"/>
            <w:vAlign w:val="bottom"/>
            <w:shd w:val="clear" w:color="auto" w:fill="E5E5E5"/>
          </w:tcPr>
          <w:p>
            <w:pPr>
              <w:ind w:left="2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4"/>
                <w:szCs w:val="14"/>
                <w:b w:val="1"/>
                <w:bCs w:val="1"/>
                <w:color w:val="auto"/>
              </w:rPr>
              <w:t xml:space="preserve"> Governance and</w:t>
            </w:r>
          </w:p>
        </w:tc>
        <w:tc>
          <w:tcPr>
            <w:tcW w:w="180" w:type="dxa"/>
            <w:vAlign w:val="bottom"/>
            <w:tcBorders>
              <w:right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The Governance and Compliance Committee is responsible for developing and recommending</w:t>
            </w:r>
          </w:p>
        </w:tc>
        <w:tc>
          <w:tcPr>
            <w:tcW w:w="12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r>
      <w:tr>
        <w:trPr>
          <w:trHeight w:val="203"/>
        </w:trPr>
        <w:tc>
          <w:tcPr>
            <w:tcW w:w="216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Compliance Committee</w:t>
            </w:r>
          </w:p>
        </w:tc>
        <w:tc>
          <w:tcPr>
            <w:tcW w:w="180" w:type="dxa"/>
            <w:vAlign w:val="bottom"/>
            <w:tcBorders>
              <w:right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to the Board our Corporate Governance Guidelines and assisting the Board in fulfilling its</w:t>
            </w:r>
          </w:p>
        </w:tc>
        <w:tc>
          <w:tcPr>
            <w:tcW w:w="120" w:type="dxa"/>
            <w:vAlign w:val="bottom"/>
            <w:shd w:val="clear" w:color="auto" w:fill="E5E5E5"/>
          </w:tcPr>
          <w:p>
            <w:pPr>
              <w:spacing w:after="0"/>
              <w:rPr>
                <w:sz w:val="17"/>
                <w:szCs w:val="17"/>
                <w:color w:val="auto"/>
              </w:rPr>
            </w:pPr>
          </w:p>
        </w:tc>
      </w:tr>
      <w:tr>
        <w:trPr>
          <w:trHeight w:val="161"/>
        </w:trPr>
        <w:tc>
          <w:tcPr>
            <w:tcW w:w="2160" w:type="dxa"/>
            <w:vAlign w:val="bottom"/>
            <w:shd w:val="clear" w:color="auto" w:fill="E5E5E5"/>
          </w:tcPr>
          <w:p>
            <w:pPr>
              <w:spacing w:after="0"/>
              <w:rPr>
                <w:sz w:val="14"/>
                <w:szCs w:val="14"/>
                <w:color w:val="auto"/>
              </w:rPr>
            </w:pPr>
          </w:p>
        </w:tc>
        <w:tc>
          <w:tcPr>
            <w:tcW w:w="18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6840" w:type="dxa"/>
            <w:vAlign w:val="bottom"/>
            <w:shd w:val="clear" w:color="auto" w:fill="E5E5E5"/>
          </w:tcPr>
          <w:p>
            <w:pPr>
              <w:ind w:left="80"/>
              <w:spacing w:after="0" w:line="161" w:lineRule="exact"/>
              <w:rPr>
                <w:sz w:val="20"/>
                <w:szCs w:val="20"/>
                <w:color w:val="auto"/>
              </w:rPr>
            </w:pPr>
            <w:r>
              <w:rPr>
                <w:rFonts w:ascii="Arial" w:cs="Arial" w:eastAsia="Arial" w:hAnsi="Arial"/>
                <w:sz w:val="16"/>
                <w:szCs w:val="16"/>
                <w:color w:val="auto"/>
              </w:rPr>
              <w:t>oversight responsibility with respect to our corporate governance. The committee is also</w:t>
            </w:r>
          </w:p>
        </w:tc>
        <w:tc>
          <w:tcPr>
            <w:tcW w:w="120" w:type="dxa"/>
            <w:vAlign w:val="bottom"/>
            <w:shd w:val="clear" w:color="auto" w:fill="E5E5E5"/>
          </w:tcPr>
          <w:p>
            <w:pPr>
              <w:spacing w:after="0"/>
              <w:rPr>
                <w:sz w:val="14"/>
                <w:szCs w:val="14"/>
                <w:color w:val="auto"/>
              </w:rPr>
            </w:pPr>
          </w:p>
        </w:tc>
      </w:tr>
      <w:tr>
        <w:trPr>
          <w:trHeight w:val="215"/>
        </w:trPr>
        <w:tc>
          <w:tcPr>
            <w:tcW w:w="2160" w:type="dxa"/>
            <w:vAlign w:val="bottom"/>
            <w:shd w:val="clear" w:color="auto" w:fill="E5E5E5"/>
          </w:tcPr>
          <w:p>
            <w:pPr>
              <w:spacing w:after="0"/>
              <w:rPr>
                <w:sz w:val="18"/>
                <w:szCs w:val="18"/>
                <w:color w:val="auto"/>
              </w:rPr>
            </w:pPr>
          </w:p>
        </w:tc>
        <w:tc>
          <w:tcPr>
            <w:tcW w:w="180" w:type="dxa"/>
            <w:vAlign w:val="bottom"/>
            <w:tcBorders>
              <w:right w:val="single" w:sz="8" w:color="auto"/>
            </w:tcBorders>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840" w:type="dxa"/>
            <w:vAlign w:val="bottom"/>
            <w:shd w:val="clear" w:color="auto" w:fill="E5E5E5"/>
          </w:tcPr>
          <w:p>
            <w:pPr>
              <w:ind w:left="80"/>
              <w:spacing w:after="0"/>
              <w:rPr>
                <w:sz w:val="20"/>
                <w:szCs w:val="20"/>
                <w:color w:val="auto"/>
              </w:rPr>
            </w:pPr>
            <w:r>
              <w:rPr>
                <w:rFonts w:ascii="Arial" w:cs="Arial" w:eastAsia="Arial" w:hAnsi="Arial"/>
                <w:sz w:val="16"/>
                <w:szCs w:val="16"/>
                <w:color w:val="auto"/>
              </w:rPr>
              <w:t>responsible for overseeing and monitoring the effectiveness of our compliance program.</w:t>
            </w:r>
          </w:p>
        </w:tc>
        <w:tc>
          <w:tcPr>
            <w:tcW w:w="120" w:type="dxa"/>
            <w:vAlign w:val="bottom"/>
            <w:shd w:val="clear" w:color="auto" w:fill="E5E5E5"/>
          </w:tcPr>
          <w:p>
            <w:pPr>
              <w:spacing w:after="0"/>
              <w:rPr>
                <w:sz w:val="18"/>
                <w:szCs w:val="18"/>
                <w:color w:val="auto"/>
              </w:rPr>
            </w:pPr>
          </w:p>
        </w:tc>
      </w:tr>
      <w:tr>
        <w:trPr>
          <w:trHeight w:val="271"/>
        </w:trPr>
        <w:tc>
          <w:tcPr>
            <w:tcW w:w="2160" w:type="dxa"/>
            <w:vAlign w:val="bottom"/>
            <w:shd w:val="clear" w:color="auto" w:fill="E5E5E5"/>
          </w:tcPr>
          <w:p>
            <w:pPr>
              <w:spacing w:after="0"/>
              <w:rPr>
                <w:sz w:val="23"/>
                <w:szCs w:val="23"/>
                <w:color w:val="auto"/>
              </w:rPr>
            </w:pPr>
          </w:p>
        </w:tc>
        <w:tc>
          <w:tcPr>
            <w:tcW w:w="180" w:type="dxa"/>
            <w:vAlign w:val="bottom"/>
            <w:tcBorders>
              <w:right w:val="single" w:sz="8" w:color="auto"/>
            </w:tcBorders>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68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The current members of the Governance and Compliance Committee are Paul Bisaro, Paul</w:t>
            </w:r>
          </w:p>
        </w:tc>
        <w:tc>
          <w:tcPr>
            <w:tcW w:w="120" w:type="dxa"/>
            <w:vAlign w:val="bottom"/>
            <w:shd w:val="clear" w:color="auto" w:fill="E5E5E5"/>
          </w:tcPr>
          <w:p>
            <w:pPr>
              <w:spacing w:after="0"/>
              <w:rPr>
                <w:sz w:val="23"/>
                <w:szCs w:val="23"/>
                <w:color w:val="auto"/>
              </w:rPr>
            </w:pPr>
          </w:p>
        </w:tc>
      </w:tr>
      <w:tr>
        <w:trPr>
          <w:trHeight w:val="175"/>
        </w:trPr>
        <w:tc>
          <w:tcPr>
            <w:tcW w:w="2160" w:type="dxa"/>
            <w:vAlign w:val="bottom"/>
            <w:shd w:val="clear" w:color="auto" w:fill="E5E5E5"/>
          </w:tcPr>
          <w:p>
            <w:pPr>
              <w:spacing w:after="0"/>
              <w:rPr>
                <w:sz w:val="15"/>
                <w:szCs w:val="15"/>
                <w:color w:val="auto"/>
              </w:rPr>
            </w:pPr>
          </w:p>
        </w:tc>
        <w:tc>
          <w:tcPr>
            <w:tcW w:w="180" w:type="dxa"/>
            <w:vAlign w:val="bottom"/>
            <w:tcBorders>
              <w:right w:val="single" w:sz="8" w:color="auto"/>
            </w:tcBorders>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6840" w:type="dxa"/>
            <w:vAlign w:val="bottom"/>
            <w:shd w:val="clear" w:color="auto" w:fill="E5E5E5"/>
          </w:tcPr>
          <w:p>
            <w:pPr>
              <w:ind w:left="100"/>
              <w:spacing w:after="0" w:line="175" w:lineRule="exact"/>
              <w:rPr>
                <w:sz w:val="20"/>
                <w:szCs w:val="20"/>
                <w:color w:val="auto"/>
              </w:rPr>
            </w:pPr>
            <w:r>
              <w:rPr>
                <w:rFonts w:ascii="Arial" w:cs="Arial" w:eastAsia="Arial" w:hAnsi="Arial"/>
                <w:sz w:val="16"/>
                <w:szCs w:val="16"/>
                <w:color w:val="auto"/>
              </w:rPr>
              <w:t>Efron and Sophia Langlois, each of whom is independent under NYSE corporate governance</w:t>
            </w:r>
          </w:p>
        </w:tc>
        <w:tc>
          <w:tcPr>
            <w:tcW w:w="120" w:type="dxa"/>
            <w:vAlign w:val="bottom"/>
            <w:shd w:val="clear" w:color="auto" w:fill="E5E5E5"/>
          </w:tcPr>
          <w:p>
            <w:pPr>
              <w:spacing w:after="0"/>
              <w:rPr>
                <w:sz w:val="15"/>
                <w:szCs w:val="15"/>
                <w:color w:val="auto"/>
              </w:rPr>
            </w:pPr>
          </w:p>
        </w:tc>
      </w:tr>
      <w:tr>
        <w:trPr>
          <w:trHeight w:val="276"/>
        </w:trPr>
        <w:tc>
          <w:tcPr>
            <w:tcW w:w="2160" w:type="dxa"/>
            <w:vAlign w:val="bottom"/>
            <w:tcBorders>
              <w:bottom w:val="single" w:sz="8" w:color="E5E5E5"/>
            </w:tcBorders>
            <w:shd w:val="clear" w:color="auto" w:fill="E5E5E5"/>
          </w:tcPr>
          <w:p>
            <w:pPr>
              <w:spacing w:after="0"/>
              <w:rPr>
                <w:sz w:val="23"/>
                <w:szCs w:val="23"/>
                <w:color w:val="auto"/>
              </w:rPr>
            </w:pPr>
          </w:p>
        </w:tc>
        <w:tc>
          <w:tcPr>
            <w:tcW w:w="180" w:type="dxa"/>
            <w:vAlign w:val="bottom"/>
            <w:tcBorders>
              <w:bottom w:val="single" w:sz="8" w:color="E5E5E5"/>
              <w:right w:val="single" w:sz="8" w:color="auto"/>
            </w:tcBorders>
            <w:shd w:val="clear" w:color="auto" w:fill="E5E5E5"/>
          </w:tcPr>
          <w:p>
            <w:pPr>
              <w:spacing w:after="0"/>
              <w:rPr>
                <w:sz w:val="23"/>
                <w:szCs w:val="23"/>
                <w:color w:val="auto"/>
              </w:rPr>
            </w:pPr>
          </w:p>
        </w:tc>
        <w:tc>
          <w:tcPr>
            <w:tcW w:w="100" w:type="dxa"/>
            <w:vAlign w:val="bottom"/>
            <w:tcBorders>
              <w:bottom w:val="single" w:sz="8" w:color="E5E5E5"/>
            </w:tcBorders>
            <w:shd w:val="clear" w:color="auto" w:fill="E5E5E5"/>
          </w:tcPr>
          <w:p>
            <w:pPr>
              <w:spacing w:after="0"/>
              <w:rPr>
                <w:sz w:val="23"/>
                <w:szCs w:val="23"/>
                <w:color w:val="auto"/>
              </w:rPr>
            </w:pPr>
          </w:p>
        </w:tc>
        <w:tc>
          <w:tcPr>
            <w:tcW w:w="68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6"/>
                <w:szCs w:val="16"/>
                <w:color w:val="auto"/>
              </w:rPr>
              <w:t>listing standards. Paul Bisaro is the Chair of the Governance and Compliance Committee.</w:t>
            </w:r>
          </w:p>
        </w:tc>
        <w:tc>
          <w:tcPr>
            <w:tcW w:w="120" w:type="dxa"/>
            <w:vAlign w:val="bottom"/>
            <w:tcBorders>
              <w:bottom w:val="single" w:sz="8" w:color="E5E5E5"/>
            </w:tcBorders>
            <w:shd w:val="clear" w:color="auto" w:fill="E5E5E5"/>
          </w:tcPr>
          <w:p>
            <w:pPr>
              <w:spacing w:after="0"/>
              <w:rPr>
                <w:sz w:val="23"/>
                <w:szCs w:val="23"/>
                <w:color w:val="auto"/>
              </w:rPr>
            </w:pPr>
          </w:p>
        </w:tc>
      </w:tr>
      <w:tr>
        <w:trPr>
          <w:trHeight w:val="196"/>
        </w:trPr>
        <w:tc>
          <w:tcPr>
            <w:tcW w:w="21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4"/>
                <w:szCs w:val="14"/>
                <w:b w:val="1"/>
                <w:bCs w:val="1"/>
                <w:color w:val="auto"/>
              </w:rPr>
              <w:t xml:space="preserve"> Human Resources and</w:t>
            </w:r>
          </w:p>
        </w:tc>
        <w:tc>
          <w:tcPr>
            <w:tcW w:w="1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The HRCC reviews and approves the Company’s executive compensation philosophy and</w:t>
            </w: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r>
      <w:tr>
        <w:trPr>
          <w:trHeight w:val="203"/>
        </w:trPr>
        <w:tc>
          <w:tcPr>
            <w:tcW w:w="216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Compensation</w:t>
            </w: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compensation and benefits policies and objectives, determines whether our officers and</w:t>
            </w:r>
          </w:p>
        </w:tc>
        <w:tc>
          <w:tcPr>
            <w:tcW w:w="120" w:type="dxa"/>
            <w:vAlign w:val="bottom"/>
          </w:tcPr>
          <w:p>
            <w:pPr>
              <w:spacing w:after="0"/>
              <w:rPr>
                <w:sz w:val="17"/>
                <w:szCs w:val="17"/>
                <w:color w:val="auto"/>
              </w:rPr>
            </w:pPr>
          </w:p>
        </w:tc>
      </w:tr>
      <w:tr>
        <w:trPr>
          <w:trHeight w:val="189"/>
        </w:trPr>
        <w:tc>
          <w:tcPr>
            <w:tcW w:w="216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Committee</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employees are compensated according to those objectives and carries out the Board’s</w:t>
            </w:r>
          </w:p>
        </w:tc>
        <w:tc>
          <w:tcPr>
            <w:tcW w:w="120" w:type="dxa"/>
            <w:vAlign w:val="bottom"/>
          </w:tcPr>
          <w:p>
            <w:pPr>
              <w:spacing w:after="0"/>
              <w:rPr>
                <w:sz w:val="16"/>
                <w:szCs w:val="16"/>
                <w:color w:val="auto"/>
              </w:rPr>
            </w:pPr>
          </w:p>
        </w:tc>
      </w:tr>
      <w:tr>
        <w:trPr>
          <w:trHeight w:val="148"/>
        </w:trPr>
        <w:tc>
          <w:tcPr>
            <w:tcW w:w="21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40" w:type="dxa"/>
            <w:vAlign w:val="bottom"/>
          </w:tcPr>
          <w:p>
            <w:pPr>
              <w:ind w:left="80"/>
              <w:spacing w:after="0" w:line="148" w:lineRule="exact"/>
              <w:rPr>
                <w:sz w:val="20"/>
                <w:szCs w:val="20"/>
                <w:color w:val="auto"/>
              </w:rPr>
            </w:pPr>
            <w:r>
              <w:rPr>
                <w:rFonts w:ascii="Arial" w:cs="Arial" w:eastAsia="Arial" w:hAnsi="Arial"/>
                <w:sz w:val="16"/>
                <w:szCs w:val="16"/>
                <w:color w:val="auto"/>
              </w:rPr>
              <w:t>responsibilities relating to compensation of our executive officers (other than CEO). The HRCC</w:t>
            </w:r>
          </w:p>
        </w:tc>
        <w:tc>
          <w:tcPr>
            <w:tcW w:w="120" w:type="dxa"/>
            <w:vAlign w:val="bottom"/>
          </w:tcPr>
          <w:p>
            <w:pPr>
              <w:spacing w:after="0"/>
              <w:rPr>
                <w:sz w:val="12"/>
                <w:szCs w:val="12"/>
                <w:color w:val="auto"/>
              </w:rPr>
            </w:pP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80"/>
              <w:spacing w:after="0" w:line="175" w:lineRule="exact"/>
              <w:rPr>
                <w:sz w:val="20"/>
                <w:szCs w:val="20"/>
                <w:color w:val="auto"/>
              </w:rPr>
            </w:pPr>
            <w:r>
              <w:rPr>
                <w:rFonts w:ascii="Arial" w:cs="Arial" w:eastAsia="Arial" w:hAnsi="Arial"/>
                <w:sz w:val="16"/>
                <w:szCs w:val="16"/>
                <w:color w:val="auto"/>
              </w:rPr>
              <w:t>establishes the compensation of our executive officers (other than the CEO) after reviewing the</w:t>
            </w:r>
          </w:p>
        </w:tc>
        <w:tc>
          <w:tcPr>
            <w:tcW w:w="120" w:type="dxa"/>
            <w:vAlign w:val="bottom"/>
          </w:tcPr>
          <w:p>
            <w:pPr>
              <w:spacing w:after="0"/>
              <w:rPr>
                <w:sz w:val="15"/>
                <w:szCs w:val="15"/>
                <w:color w:val="auto"/>
              </w:rPr>
            </w:pPr>
          </w:p>
        </w:tc>
      </w:tr>
      <w:tr>
        <w:trPr>
          <w:trHeight w:val="189"/>
        </w:trPr>
        <w:tc>
          <w:tcPr>
            <w:tcW w:w="2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recommendations of the CEO. The HRCC also reviews the succession planning process</w:t>
            </w:r>
          </w:p>
        </w:tc>
        <w:tc>
          <w:tcPr>
            <w:tcW w:w="120" w:type="dxa"/>
            <w:vAlign w:val="bottom"/>
          </w:tcPr>
          <w:p>
            <w:pPr>
              <w:spacing w:after="0"/>
              <w:rPr>
                <w:sz w:val="16"/>
                <w:szCs w:val="16"/>
                <w:color w:val="auto"/>
              </w:rPr>
            </w:pP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80"/>
              <w:spacing w:after="0" w:line="175" w:lineRule="exact"/>
              <w:rPr>
                <w:sz w:val="20"/>
                <w:szCs w:val="20"/>
                <w:color w:val="auto"/>
              </w:rPr>
            </w:pPr>
            <w:r>
              <w:rPr>
                <w:rFonts w:ascii="Arial" w:cs="Arial" w:eastAsia="Arial" w:hAnsi="Arial"/>
                <w:sz w:val="16"/>
                <w:szCs w:val="16"/>
                <w:color w:val="auto"/>
              </w:rPr>
              <w:t>relating to senior executives (other than CEO). The current members of the HRCC are Katina</w:t>
            </w:r>
          </w:p>
        </w:tc>
        <w:tc>
          <w:tcPr>
            <w:tcW w:w="120" w:type="dxa"/>
            <w:vAlign w:val="bottom"/>
          </w:tcPr>
          <w:p>
            <w:pPr>
              <w:spacing w:after="0"/>
              <w:rPr>
                <w:sz w:val="15"/>
                <w:szCs w:val="15"/>
                <w:color w:val="auto"/>
              </w:rPr>
            </w:pPr>
          </w:p>
        </w:tc>
      </w:tr>
      <w:tr>
        <w:trPr>
          <w:trHeight w:val="175"/>
        </w:trPr>
        <w:tc>
          <w:tcPr>
            <w:tcW w:w="2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tcPr>
          <w:p>
            <w:pPr>
              <w:ind w:left="80"/>
              <w:spacing w:after="0" w:line="175" w:lineRule="exact"/>
              <w:rPr>
                <w:sz w:val="20"/>
                <w:szCs w:val="20"/>
                <w:color w:val="auto"/>
              </w:rPr>
            </w:pPr>
            <w:r>
              <w:rPr>
                <w:rFonts w:ascii="Arial" w:cs="Arial" w:eastAsia="Arial" w:hAnsi="Arial"/>
                <w:sz w:val="16"/>
                <w:szCs w:val="16"/>
                <w:color w:val="auto"/>
              </w:rPr>
              <w:t>Dorton, Marc Yoskowitz and Leslie Donato, each of whom is independent under NYSE</w:t>
            </w:r>
          </w:p>
        </w:tc>
        <w:tc>
          <w:tcPr>
            <w:tcW w:w="120" w:type="dxa"/>
            <w:vAlign w:val="bottom"/>
          </w:tcPr>
          <w:p>
            <w:pPr>
              <w:spacing w:after="0"/>
              <w:rPr>
                <w:sz w:val="15"/>
                <w:szCs w:val="15"/>
                <w:color w:val="auto"/>
              </w:rPr>
            </w:pPr>
          </w:p>
        </w:tc>
      </w:tr>
      <w:tr>
        <w:trPr>
          <w:trHeight w:val="189"/>
        </w:trPr>
        <w:tc>
          <w:tcPr>
            <w:tcW w:w="2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w w:val="99"/>
              </w:rPr>
              <w:t>corporate governance listing standards applicable to compensation committee members. Katina</w:t>
            </w:r>
          </w:p>
        </w:tc>
        <w:tc>
          <w:tcPr>
            <w:tcW w:w="120" w:type="dxa"/>
            <w:vAlign w:val="bottom"/>
          </w:tcPr>
          <w:p>
            <w:pPr>
              <w:spacing w:after="0"/>
              <w:rPr>
                <w:sz w:val="16"/>
                <w:szCs w:val="16"/>
                <w:color w:val="auto"/>
              </w:rPr>
            </w:pPr>
          </w:p>
        </w:tc>
      </w:tr>
      <w:tr>
        <w:trPr>
          <w:trHeight w:val="215"/>
        </w:trPr>
        <w:tc>
          <w:tcPr>
            <w:tcW w:w="21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Arial" w:cs="Arial" w:eastAsia="Arial" w:hAnsi="Arial"/>
                <w:sz w:val="16"/>
                <w:szCs w:val="16"/>
                <w:color w:val="auto"/>
              </w:rPr>
              <w:t>Dorton is the Chair of the HRCC.</w:t>
            </w:r>
          </w:p>
        </w:tc>
        <w:tc>
          <w:tcPr>
            <w:tcW w:w="120" w:type="dxa"/>
            <w:vAlign w:val="bottom"/>
          </w:tcPr>
          <w:p>
            <w:pPr>
              <w:spacing w:after="0"/>
              <w:rPr>
                <w:sz w:val="18"/>
                <w:szCs w:val="18"/>
                <w:color w:val="auto"/>
              </w:rPr>
            </w:pPr>
          </w:p>
        </w:tc>
      </w:tr>
      <w:tr>
        <w:trPr>
          <w:trHeight w:val="43"/>
        </w:trPr>
        <w:tc>
          <w:tcPr>
            <w:tcW w:w="216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136" w:lineRule="exact"/>
        <w:rPr>
          <w:sz w:val="20"/>
          <w:szCs w:val="20"/>
          <w:color w:val="auto"/>
        </w:rPr>
      </w:pPr>
    </w:p>
    <w:p>
      <w:pPr>
        <w:ind w:left="1040" w:right="360" w:hanging="368"/>
        <w:spacing w:after="0" w:line="281" w:lineRule="auto"/>
        <w:tabs>
          <w:tab w:leader="none" w:pos="10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Each of the three standing committees may delegate its authority and duties to subcommittees or individual members of such committee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​16 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7540"/>
        <w:spacing w:after="0"/>
        <w:rPr>
          <w:sz w:val="20"/>
          <w:szCs w:val="20"/>
          <w:color w:val="auto"/>
        </w:rPr>
      </w:pPr>
      <w:r>
        <w:rPr>
          <w:rFonts w:ascii="Arial" w:cs="Arial" w:eastAsia="Arial" w:hAnsi="Arial"/>
          <w:sz w:val="13"/>
          <w:szCs w:val="13"/>
          <w:color w:val="323232"/>
        </w:rPr>
        <w:t>Compensation of Non-Employee Directors</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Compensation of Non-Employee Directors</w:t>
      </w:r>
    </w:p>
    <w:p>
      <w:pPr>
        <w:spacing w:after="0" w:line="120" w:lineRule="exact"/>
        <w:rPr>
          <w:sz w:val="20"/>
          <w:szCs w:val="20"/>
          <w:color w:val="auto"/>
        </w:rPr>
      </w:pPr>
    </w:p>
    <w:p>
      <w:pPr>
        <w:ind w:left="680" w:right="760"/>
        <w:spacing w:after="0" w:line="283" w:lineRule="auto"/>
        <w:rPr>
          <w:sz w:val="20"/>
          <w:szCs w:val="20"/>
          <w:color w:val="auto"/>
        </w:rPr>
      </w:pPr>
      <w:r>
        <w:rPr>
          <w:rFonts w:ascii="Arial" w:cs="Arial" w:eastAsia="Arial" w:hAnsi="Arial"/>
          <w:sz w:val="15"/>
          <w:szCs w:val="15"/>
          <w:color w:val="auto"/>
        </w:rPr>
        <w:t>The 2025 compensation of our non-employee directors reflects the compensation program established by the Board in February 2024 following our emergence from bankruptcy in 2023, and a new director compensation program established in</w:t>
      </w:r>
    </w:p>
    <w:p>
      <w:pPr>
        <w:spacing w:after="0" w:line="1" w:lineRule="exact"/>
        <w:rPr>
          <w:sz w:val="20"/>
          <w:szCs w:val="20"/>
          <w:color w:val="auto"/>
        </w:rPr>
      </w:pPr>
    </w:p>
    <w:p>
      <w:pPr>
        <w:ind w:left="680" w:right="40"/>
        <w:spacing w:after="0" w:line="283" w:lineRule="auto"/>
        <w:rPr>
          <w:sz w:val="20"/>
          <w:szCs w:val="20"/>
          <w:color w:val="auto"/>
        </w:rPr>
      </w:pPr>
      <w:r>
        <w:rPr>
          <w:rFonts w:ascii="Arial" w:cs="Arial" w:eastAsia="Arial" w:hAnsi="Arial"/>
          <w:sz w:val="16"/>
          <w:szCs w:val="16"/>
          <w:color w:val="auto"/>
        </w:rPr>
        <w:t>August 2025 following the completion of the Business Combination. The following sections describe the features of the non-employee director compensation program before and after the Business Combination.</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Pre-Business Combination</w:t>
      </w:r>
    </w:p>
    <w:p>
      <w:pPr>
        <w:spacing w:after="0" w:line="112" w:lineRule="exact"/>
        <w:rPr>
          <w:sz w:val="20"/>
          <w:szCs w:val="20"/>
          <w:color w:val="auto"/>
        </w:rPr>
      </w:pPr>
    </w:p>
    <w:p>
      <w:pPr>
        <w:ind w:left="680" w:right="60"/>
        <w:spacing w:after="0" w:line="304" w:lineRule="auto"/>
        <w:rPr>
          <w:sz w:val="20"/>
          <w:szCs w:val="20"/>
          <w:color w:val="auto"/>
        </w:rPr>
      </w:pPr>
      <w:r>
        <w:rPr>
          <w:rFonts w:ascii="Arial" w:cs="Arial" w:eastAsia="Arial" w:hAnsi="Arial"/>
          <w:sz w:val="16"/>
          <w:szCs w:val="16"/>
          <w:color w:val="auto"/>
        </w:rPr>
        <w:t>As further described below, prior to the Business Combination, our non-employee directors’ compensation comprised an annual cash retainer, equity awards, and participation in our Transaction Incentive Plan.</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Annual Cash Retainers</w:t>
      </w:r>
    </w:p>
    <w:p>
      <w:pPr>
        <w:spacing w:after="0" w:line="122" w:lineRule="exact"/>
        <w:rPr>
          <w:sz w:val="20"/>
          <w:szCs w:val="20"/>
          <w:color w:val="auto"/>
        </w:rPr>
      </w:pPr>
    </w:p>
    <w:p>
      <w:pPr>
        <w:ind w:left="680" w:right="60"/>
        <w:spacing w:after="0" w:line="286" w:lineRule="auto"/>
        <w:rPr>
          <w:sz w:val="20"/>
          <w:szCs w:val="20"/>
          <w:color w:val="auto"/>
        </w:rPr>
      </w:pPr>
      <w:r>
        <w:rPr>
          <w:rFonts w:ascii="Arial" w:cs="Arial" w:eastAsia="Arial" w:hAnsi="Arial"/>
          <w:sz w:val="16"/>
          <w:szCs w:val="16"/>
          <w:i w:val="1"/>
          <w:iCs w:val="1"/>
          <w:color w:val="auto"/>
        </w:rPr>
        <w:t>Board Members</w:t>
      </w:r>
      <w:r>
        <w:rPr>
          <w:rFonts w:ascii="Arial" w:cs="Arial" w:eastAsia="Arial" w:hAnsi="Arial"/>
          <w:sz w:val="16"/>
          <w:szCs w:val="16"/>
          <w:color w:val="auto"/>
        </w:rPr>
        <w:t>. Each non-employee director (other than the Non-Executive Chair) was entitled to receive an annual cash retainer of</w:t>
      </w:r>
      <w:r>
        <w:rPr>
          <w:rFonts w:ascii="Arial" w:cs="Arial" w:eastAsia="Arial" w:hAnsi="Arial"/>
          <w:sz w:val="16"/>
          <w:szCs w:val="16"/>
          <w:i w:val="1"/>
          <w:iCs w:val="1"/>
          <w:color w:val="auto"/>
        </w:rPr>
        <w:t xml:space="preserve"> </w:t>
      </w:r>
      <w:r>
        <w:rPr>
          <w:rFonts w:ascii="Arial" w:cs="Arial" w:eastAsia="Arial" w:hAnsi="Arial"/>
          <w:sz w:val="16"/>
          <w:szCs w:val="16"/>
          <w:color w:val="auto"/>
        </w:rPr>
        <w:t>$150,000.</w:t>
      </w:r>
    </w:p>
    <w:p>
      <w:pPr>
        <w:spacing w:after="0" w:line="129" w:lineRule="exact"/>
        <w:rPr>
          <w:sz w:val="20"/>
          <w:szCs w:val="20"/>
          <w:color w:val="auto"/>
        </w:rPr>
      </w:pPr>
    </w:p>
    <w:p>
      <w:pPr>
        <w:ind w:left="680" w:right="720"/>
        <w:spacing w:after="0" w:line="304" w:lineRule="auto"/>
        <w:rPr>
          <w:sz w:val="20"/>
          <w:szCs w:val="20"/>
          <w:color w:val="auto"/>
        </w:rPr>
      </w:pPr>
      <w:r>
        <w:rPr>
          <w:rFonts w:ascii="Arial" w:cs="Arial" w:eastAsia="Arial" w:hAnsi="Arial"/>
          <w:sz w:val="16"/>
          <w:szCs w:val="16"/>
          <w:i w:val="1"/>
          <w:iCs w:val="1"/>
          <w:color w:val="auto"/>
        </w:rPr>
        <w:t>Non-Executive Chair of the Board</w:t>
      </w:r>
      <w:r>
        <w:rPr>
          <w:rFonts w:ascii="Arial" w:cs="Arial" w:eastAsia="Arial" w:hAnsi="Arial"/>
          <w:sz w:val="16"/>
          <w:szCs w:val="16"/>
          <w:color w:val="auto"/>
        </w:rPr>
        <w:t>. The Non-Executive Chair of the Board was entitled to receive an annual cash retainer of</w:t>
      </w:r>
      <w:r>
        <w:rPr>
          <w:rFonts w:ascii="Arial" w:cs="Arial" w:eastAsia="Arial" w:hAnsi="Arial"/>
          <w:sz w:val="16"/>
          <w:szCs w:val="16"/>
          <w:i w:val="1"/>
          <w:iCs w:val="1"/>
          <w:color w:val="auto"/>
        </w:rPr>
        <w:t xml:space="preserve"> </w:t>
      </w:r>
      <w:r>
        <w:rPr>
          <w:rFonts w:ascii="Arial" w:cs="Arial" w:eastAsia="Arial" w:hAnsi="Arial"/>
          <w:sz w:val="16"/>
          <w:szCs w:val="16"/>
          <w:color w:val="auto"/>
        </w:rPr>
        <w:t>$250,000.</w:t>
      </w:r>
    </w:p>
    <w:p>
      <w:pPr>
        <w:spacing w:after="0" w:line="114" w:lineRule="exact"/>
        <w:rPr>
          <w:sz w:val="20"/>
          <w:szCs w:val="20"/>
          <w:color w:val="auto"/>
        </w:rPr>
      </w:pPr>
    </w:p>
    <w:p>
      <w:pPr>
        <w:ind w:left="680" w:right="120"/>
        <w:spacing w:after="0" w:line="271" w:lineRule="auto"/>
        <w:rPr>
          <w:sz w:val="20"/>
          <w:szCs w:val="20"/>
          <w:color w:val="auto"/>
        </w:rPr>
      </w:pPr>
      <w:r>
        <w:rPr>
          <w:rFonts w:ascii="Arial" w:cs="Arial" w:eastAsia="Arial" w:hAnsi="Arial"/>
          <w:sz w:val="16"/>
          <w:szCs w:val="16"/>
          <w:i w:val="1"/>
          <w:iCs w:val="1"/>
          <w:color w:val="auto"/>
        </w:rPr>
        <w:t xml:space="preserve">Committee Chairs. </w:t>
      </w:r>
      <w:r>
        <w:rPr>
          <w:rFonts w:ascii="Arial" w:cs="Arial" w:eastAsia="Arial" w:hAnsi="Arial"/>
          <w:sz w:val="16"/>
          <w:szCs w:val="16"/>
          <w:color w:val="auto"/>
        </w:rPr>
        <w:t>The chairs of the Audit Committee and Transaction Review Committee each was entitled to receive a</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annual cash retainer of $50,000, and the chairs of the HRCC and the Governance and Compliance Committee each was entitled to receive a supplemental annual cash retainer of $25,000. The Transaction Review Committee was dissolved following the Business Combination.</w:t>
      </w:r>
    </w:p>
    <w:p>
      <w:pPr>
        <w:spacing w:after="0" w:line="141" w:lineRule="exact"/>
        <w:rPr>
          <w:sz w:val="20"/>
          <w:szCs w:val="20"/>
          <w:color w:val="auto"/>
        </w:rPr>
      </w:pPr>
    </w:p>
    <w:p>
      <w:pPr>
        <w:ind w:left="680" w:right="400"/>
        <w:spacing w:after="0" w:line="275" w:lineRule="auto"/>
        <w:rPr>
          <w:sz w:val="20"/>
          <w:szCs w:val="20"/>
          <w:color w:val="auto"/>
        </w:rPr>
      </w:pPr>
      <w:r>
        <w:rPr>
          <w:rFonts w:ascii="Arial" w:cs="Arial" w:eastAsia="Arial" w:hAnsi="Arial"/>
          <w:sz w:val="16"/>
          <w:szCs w:val="16"/>
          <w:i w:val="1"/>
          <w:iCs w:val="1"/>
          <w:color w:val="auto"/>
        </w:rPr>
        <w:t xml:space="preserve">Committee Members. </w:t>
      </w:r>
      <w:r>
        <w:rPr>
          <w:rFonts w:ascii="Arial" w:cs="Arial" w:eastAsia="Arial" w:hAnsi="Arial"/>
          <w:sz w:val="16"/>
          <w:szCs w:val="16"/>
          <w:color w:val="auto"/>
        </w:rPr>
        <w:t>Each member of the Audit Committee, the HRCC, the Governance and Compliance Committee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Review Committee (excluding the Committee Chairs) was entitled to receive a supplemental annual cash retainer of $15,000.</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2024 Equity Awards</w:t>
      </w:r>
    </w:p>
    <w:p>
      <w:pPr>
        <w:spacing w:after="0" w:line="122" w:lineRule="exact"/>
        <w:rPr>
          <w:sz w:val="20"/>
          <w:szCs w:val="20"/>
          <w:color w:val="auto"/>
        </w:rPr>
      </w:pPr>
    </w:p>
    <w:p>
      <w:pPr>
        <w:ind w:left="680" w:right="160"/>
        <w:spacing w:after="0" w:line="262" w:lineRule="auto"/>
        <w:rPr>
          <w:sz w:val="20"/>
          <w:szCs w:val="20"/>
          <w:color w:val="auto"/>
        </w:rPr>
      </w:pPr>
      <w:r>
        <w:rPr>
          <w:rFonts w:ascii="Arial" w:cs="Arial" w:eastAsia="Arial" w:hAnsi="Arial"/>
          <w:sz w:val="16"/>
          <w:szCs w:val="16"/>
          <w:color w:val="auto"/>
        </w:rPr>
        <w:t>In February 2024, each then-serving non-employee director received three-year equity awards under our 2024 Plan comprised of one-third RSUs (the “2024 Director RSUs”) and two-thirds PSUs (the “2024 Director PSUs”). The 2024 Director RSUs vest in equal installments, with the first and second thirds having vested on January 1, 2025 and 2026, respectively, and the remaining third scheduled to vest on January 1, 2027. The award agreements for the 2024 Director PSUs, as amended in 2024, provided that, if a “Qualifying Significant Event” occurred that was not also a “Change in Control,” the 2024 Director PSUs would automatically convert to time-vesting awards scheduled to fully vest on the last day of the three-year period of fiscal 2024 through fiscal 2026 (the “Performance Cycle”) (i.e., December 25, 2026). The Business Combination, which occurred in 2025, was an event that triggered these provisions and, as such, resulted in the 2024 Director PSUs being converted into time-vesting awards that are now scheduled to fully vest on the last day of the Performance Cycle.</w:t>
      </w:r>
    </w:p>
    <w:p>
      <w:pPr>
        <w:spacing w:after="0" w:line="150" w:lineRule="exact"/>
        <w:rPr>
          <w:sz w:val="20"/>
          <w:szCs w:val="20"/>
          <w:color w:val="auto"/>
        </w:rPr>
      </w:pPr>
    </w:p>
    <w:p>
      <w:pPr>
        <w:ind w:left="680" w:right="180"/>
        <w:spacing w:after="0" w:line="264" w:lineRule="auto"/>
        <w:rPr>
          <w:sz w:val="20"/>
          <w:szCs w:val="20"/>
          <w:color w:val="auto"/>
        </w:rPr>
      </w:pPr>
      <w:r>
        <w:rPr>
          <w:rFonts w:ascii="Arial" w:cs="Arial" w:eastAsia="Arial" w:hAnsi="Arial"/>
          <w:sz w:val="16"/>
          <w:szCs w:val="16"/>
          <w:color w:val="auto"/>
        </w:rPr>
        <w:t>The applicable award agreements provide that in the event of a director’s termination of service by us without Cause (as defined in the 2024 Plan), the director’s unvested 2024 Director RSUs, including the 2024 Director PSUs that converted into time-vesting awards, will vest in full effective as of the director’s execution of a release of claims in the Company’s customary form. As further described in the applicable award agreements, in the event of a director’s death or disability, the director’s unvested 2024 Director RSUs, including the 2024 Director PSUs that converted into time-vesting awards, will vest in full. For a description of vestings of relevant stock awards for directors whose service terminated upon the Business Combination, see the 2025 Director Compensation Table below. For additional information regarding the features of 2024 Director RSUs and 2024 Director PSUs granted under the 2024 Plan, see the section entitled “Equity Compensation Plan Information — 2024 Plan.”</w:t>
      </w:r>
    </w:p>
    <w:p>
      <w:pPr>
        <w:spacing w:after="0" w:line="149" w:lineRule="exact"/>
        <w:rPr>
          <w:sz w:val="20"/>
          <w:szCs w:val="20"/>
          <w:color w:val="auto"/>
        </w:rPr>
      </w:pPr>
    </w:p>
    <w:p>
      <w:pPr>
        <w:jc w:val="both"/>
        <w:ind w:left="680" w:right="200"/>
        <w:spacing w:after="0" w:line="271" w:lineRule="auto"/>
        <w:rPr>
          <w:sz w:val="20"/>
          <w:szCs w:val="20"/>
          <w:color w:val="auto"/>
        </w:rPr>
      </w:pPr>
      <w:r>
        <w:rPr>
          <w:rFonts w:ascii="Arial" w:cs="Arial" w:eastAsia="Arial" w:hAnsi="Arial"/>
          <w:sz w:val="16"/>
          <w:szCs w:val="16"/>
          <w:color w:val="auto"/>
        </w:rPr>
        <w:t>Given the lack of an ordinary market for the Company’s ordinary shares, the Company provided its non-employee directors with the opportunity to forfeit a portion of the ordinary shares that they otherwise would have become entitled to receive upon the vesting of their 2024 Director RSUs on January 1, 2025 and 2026 in exchange for a cash payment from the Company in order to facilitate the ability to satisfy certain tax obligations related to such 2024 Director RSUs scheduled to vest.</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Transaction Incentive Plan</w:t>
      </w:r>
    </w:p>
    <w:p>
      <w:pPr>
        <w:spacing w:after="0" w:line="122" w:lineRule="exact"/>
        <w:rPr>
          <w:sz w:val="20"/>
          <w:szCs w:val="20"/>
          <w:color w:val="auto"/>
        </w:rPr>
      </w:pPr>
    </w:p>
    <w:p>
      <w:pPr>
        <w:ind w:left="680" w:right="120"/>
        <w:spacing w:after="0" w:line="295" w:lineRule="auto"/>
        <w:rPr>
          <w:sz w:val="20"/>
          <w:szCs w:val="20"/>
          <w:color w:val="auto"/>
        </w:rPr>
      </w:pPr>
      <w:r>
        <w:rPr>
          <w:rFonts w:ascii="Arial" w:cs="Arial" w:eastAsia="Arial" w:hAnsi="Arial"/>
          <w:sz w:val="15"/>
          <w:szCs w:val="15"/>
          <w:color w:val="auto"/>
        </w:rPr>
        <w:t>In February 2024, the Board adopted the Transaction Incentive Plan to incentivize retention of non-employee directors through, and following the closing of, certain strategic transactions and to ensure alignment of incentives of non-employee directors and executive officers with the best interests of the Company. Each then-serving non-employee director was designated as a participant in the Transaction Incentive Plan. The aggregate value of the bonuses payable under the Transaction Incentive Plan varied based</w:t>
      </w:r>
    </w:p>
    <w:p>
      <w:pPr>
        <w:sectPr>
          <w:pgSz w:w="11900" w:h="16838" w:orient="portrait"/>
          <w:cols w:equalWidth="0" w:num="1">
            <w:col w:w="10100"/>
          </w:cols>
          <w:pgMar w:left="580" w:top="97" w:right="1219" w:bottom="1440" w:gutter="0" w:footer="0" w:header="0"/>
        </w:sectPr>
      </w:pPr>
    </w:p>
    <w:p>
      <w:pPr>
        <w:spacing w:after="0" w:line="145"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17</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Compensation of Non-Employee Directors</w:t>
      </w:r>
    </w:p>
    <w:p>
      <w:pPr>
        <w:spacing w:after="0" w:line="200" w:lineRule="exact"/>
        <w:rPr>
          <w:sz w:val="20"/>
          <w:szCs w:val="20"/>
          <w:color w:val="auto"/>
        </w:rPr>
      </w:pPr>
    </w:p>
    <w:p>
      <w:pPr>
        <w:spacing w:after="0" w:line="216" w:lineRule="exact"/>
        <w:rPr>
          <w:sz w:val="20"/>
          <w:szCs w:val="20"/>
          <w:color w:val="auto"/>
        </w:rPr>
      </w:pPr>
    </w:p>
    <w:p>
      <w:pPr>
        <w:ind w:left="680" w:right="40"/>
        <w:spacing w:after="0" w:line="264" w:lineRule="auto"/>
        <w:rPr>
          <w:sz w:val="20"/>
          <w:szCs w:val="20"/>
          <w:color w:val="auto"/>
        </w:rPr>
      </w:pPr>
      <w:r>
        <w:rPr>
          <w:rFonts w:ascii="Arial" w:cs="Arial" w:eastAsia="Arial" w:hAnsi="Arial"/>
          <w:sz w:val="16"/>
          <w:szCs w:val="16"/>
          <w:color w:val="auto"/>
        </w:rPr>
        <w:t>on the amount of proceeds received by or the value attributed to the Company in connection with a Qualifying Transaction (as defined in the section entitled “Compensation Discussion and Analysis — Fiscal 2025 Executive Compensation Highlights”) and when such Qualifying Transaction signed or closed. Each non-employee director was entitled to receive 3% of the bonuses under the Transaction Incentive Plan, the Board Chair was entitled to receive an additional allocation of 2% of the bonuses under the Transaction Incentive Plan, and the Chair of the now dissolved Transaction Review Committee was entitled to receive an additional allocation of 1% of the bonuses under the Transaction Incentive Plan. The aggregate value of the bonuses payable were subject to the terms of the Transaction Incentive Plan.</w:t>
      </w:r>
    </w:p>
    <w:p>
      <w:pPr>
        <w:spacing w:after="0" w:line="149" w:lineRule="exact"/>
        <w:rPr>
          <w:sz w:val="20"/>
          <w:szCs w:val="20"/>
          <w:color w:val="auto"/>
        </w:rPr>
      </w:pPr>
    </w:p>
    <w:p>
      <w:pPr>
        <w:ind w:left="680" w:right="200"/>
        <w:spacing w:after="0" w:line="262" w:lineRule="auto"/>
        <w:rPr>
          <w:sz w:val="20"/>
          <w:szCs w:val="20"/>
          <w:color w:val="auto"/>
        </w:rPr>
      </w:pPr>
      <w:r>
        <w:rPr>
          <w:rFonts w:ascii="Arial" w:cs="Arial" w:eastAsia="Arial" w:hAnsi="Arial"/>
          <w:sz w:val="16"/>
          <w:szCs w:val="16"/>
          <w:color w:val="auto"/>
        </w:rPr>
        <w:t>Each bonus payment earned under the Transaction Incentive Plan was to be generally delivered 50% in connection with closing of the applicable Qualifying Transaction and 50% on the earlier of (i) December 31, 2026 or a Qualifying Significant Event and (ii) a Significant Asset Transaction (as defined in the section entitled “Compensation Discussion and Analysis — Fiscal 2025 Executive Compensation — Transaction Incentive Plan”). The Company’s sale of the Therakos business (the “Therakos Divestiture”) qualified as a Qualifying Transaction and the Business Combination qualified as a Qualifying Transaction and a Qualifying Significant Event under the Transaction Incentive Plan. As a result, the Final Payment Date (as defined in the section entitled “Compensation Discussion and Analysis — Fiscal 2025 Executive Compensation — Transaction Incentive Plan”) was triggered by the closing of the Business Combination. The Transaction Incentive Plan terminated in accordance with its terms as a result of the completion of the Business Combination, and each then-serving non-employee director was eligible for the bonuses payable under the Transaction Incentive Plan.</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Post-Business Combination</w:t>
      </w:r>
    </w:p>
    <w:p>
      <w:pPr>
        <w:spacing w:after="0" w:line="126" w:lineRule="exact"/>
        <w:rPr>
          <w:sz w:val="20"/>
          <w:szCs w:val="20"/>
          <w:color w:val="auto"/>
        </w:rPr>
      </w:pPr>
    </w:p>
    <w:p>
      <w:pPr>
        <w:ind w:left="680" w:right="100"/>
        <w:spacing w:after="0" w:line="261" w:lineRule="auto"/>
        <w:rPr>
          <w:sz w:val="20"/>
          <w:szCs w:val="20"/>
          <w:color w:val="auto"/>
        </w:rPr>
      </w:pPr>
      <w:r>
        <w:rPr>
          <w:rFonts w:ascii="Arial" w:cs="Arial" w:eastAsia="Arial" w:hAnsi="Arial"/>
          <w:sz w:val="16"/>
          <w:szCs w:val="16"/>
          <w:color w:val="auto"/>
        </w:rPr>
        <w:t>In April 2025, the Company engaged Frederic W. Cook &amp; Co. (“FW Cook”) to advise on the design of the new non-employee director compensation program, which was developed by reference to a new peer group that the Board approved after the Business Combination for benchmarking executive and non-employee director pay levels and practices. The program was designed to promote director independence and shareholder alignment and support the recruitment of directors with requisite skills and experience. The program set total director compensation near the 75th percentile of the peer group, which was determined to be appropriate given, among other things, historic challenges with recruiting qualified directors, significant workload associated with the Separation and expected NYSE listing, and in recognition of higher individual director tax liability and travel requirements for an Irish-domiciled company. In August 2025, at the Board’s first meeting following the Business Combination, FW Cook presented its recommendations for the Company’s non-employee director compensation to the Board, which the Board approved. In early September 2025, the HRCC determined to engage FW Cook as its independent consultant on executive and non-employee director compensation matters.</w:t>
      </w:r>
    </w:p>
    <w:p>
      <w:pPr>
        <w:spacing w:after="0" w:line="148" w:lineRule="exact"/>
        <w:rPr>
          <w:sz w:val="20"/>
          <w:szCs w:val="20"/>
          <w:color w:val="auto"/>
        </w:rPr>
      </w:pPr>
    </w:p>
    <w:p>
      <w:pPr>
        <w:ind w:left="680" w:right="100"/>
        <w:spacing w:after="0" w:line="304" w:lineRule="auto"/>
        <w:rPr>
          <w:sz w:val="20"/>
          <w:szCs w:val="20"/>
          <w:color w:val="auto"/>
        </w:rPr>
      </w:pPr>
      <w:r>
        <w:rPr>
          <w:rFonts w:ascii="Arial" w:cs="Arial" w:eastAsia="Arial" w:hAnsi="Arial"/>
          <w:sz w:val="16"/>
          <w:szCs w:val="16"/>
          <w:color w:val="auto"/>
        </w:rPr>
        <w:t>As further described below, after the Business Combination, our non-employee director compensation program comprises an annual cash retainer and equity awards.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Annual Retainers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Board Members</w:t>
      </w:r>
      <w:r>
        <w:rPr>
          <w:rFonts w:ascii="Arial" w:cs="Arial" w:eastAsia="Arial" w:hAnsi="Arial"/>
          <w:sz w:val="16"/>
          <w:szCs w:val="16"/>
          <w:color w:val="auto"/>
        </w:rPr>
        <w:t>. Each non-employee director is entitled to receive an annual cash retainer of $90,000.</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Non-Executive Chair of the Board</w:t>
      </w:r>
      <w:r>
        <w:rPr>
          <w:rFonts w:ascii="Arial" w:cs="Arial" w:eastAsia="Arial" w:hAnsi="Arial"/>
          <w:sz w:val="16"/>
          <w:szCs w:val="16"/>
          <w:color w:val="auto"/>
        </w:rPr>
        <w:t>. The Non-Executive Chair of the Board is entitled to receive a supplemental annual retainer of</w:t>
      </w:r>
    </w:p>
    <w:p>
      <w:pPr>
        <w:spacing w:after="0" w:line="21" w:lineRule="exact"/>
        <w:rPr>
          <w:sz w:val="20"/>
          <w:szCs w:val="20"/>
          <w:color w:val="auto"/>
        </w:rPr>
      </w:pPr>
    </w:p>
    <w:p>
      <w:pPr>
        <w:ind w:left="680" w:right="80"/>
        <w:spacing w:after="0" w:line="283" w:lineRule="auto"/>
        <w:rPr>
          <w:sz w:val="20"/>
          <w:szCs w:val="20"/>
          <w:color w:val="auto"/>
        </w:rPr>
      </w:pPr>
      <w:r>
        <w:rPr>
          <w:rFonts w:ascii="Arial" w:cs="Arial" w:eastAsia="Arial" w:hAnsi="Arial"/>
          <w:sz w:val="16"/>
          <w:szCs w:val="16"/>
          <w:color w:val="auto"/>
        </w:rPr>
        <w:t>$250,000, with 50% paid in cash and 50% paid in RSUs that vest on the earlier of (i) the first anniversary of the grant date and (ii) the date of the Company’s next annual general meeting of shareholders.</w:t>
      </w:r>
    </w:p>
    <w:p>
      <w:pPr>
        <w:spacing w:after="0" w:line="131" w:lineRule="exact"/>
        <w:rPr>
          <w:sz w:val="20"/>
          <w:szCs w:val="20"/>
          <w:color w:val="auto"/>
        </w:rPr>
      </w:pPr>
    </w:p>
    <w:p>
      <w:pPr>
        <w:ind w:left="680" w:right="100"/>
        <w:spacing w:after="0" w:line="275" w:lineRule="auto"/>
        <w:rPr>
          <w:sz w:val="20"/>
          <w:szCs w:val="20"/>
          <w:color w:val="auto"/>
        </w:rPr>
      </w:pPr>
      <w:r>
        <w:rPr>
          <w:rFonts w:ascii="Arial" w:cs="Arial" w:eastAsia="Arial" w:hAnsi="Arial"/>
          <w:sz w:val="16"/>
          <w:szCs w:val="16"/>
          <w:i w:val="1"/>
          <w:iCs w:val="1"/>
          <w:color w:val="auto"/>
        </w:rPr>
        <w:t xml:space="preserve">Committee Chairs. </w:t>
      </w:r>
      <w:r>
        <w:rPr>
          <w:rFonts w:ascii="Arial" w:cs="Arial" w:eastAsia="Arial" w:hAnsi="Arial"/>
          <w:sz w:val="16"/>
          <w:szCs w:val="16"/>
          <w:color w:val="auto"/>
        </w:rPr>
        <w:t>The chair of the Audit Committee is entitled to receive a supplemental annual cash retainer of $50,000,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chairs of the HRCC and the Governance and Compliance Committee each is entitled to receive a supplemental annual cash retainer of $40,000.</w:t>
      </w:r>
    </w:p>
    <w:p>
      <w:pPr>
        <w:spacing w:after="0" w:line="137" w:lineRule="exact"/>
        <w:rPr>
          <w:sz w:val="20"/>
          <w:szCs w:val="20"/>
          <w:color w:val="auto"/>
        </w:rPr>
      </w:pPr>
    </w:p>
    <w:p>
      <w:pPr>
        <w:ind w:left="680" w:right="80"/>
        <w:spacing w:after="0" w:line="304" w:lineRule="auto"/>
        <w:rPr>
          <w:sz w:val="20"/>
          <w:szCs w:val="20"/>
          <w:color w:val="auto"/>
        </w:rPr>
      </w:pPr>
      <w:r>
        <w:rPr>
          <w:rFonts w:ascii="Arial" w:cs="Arial" w:eastAsia="Arial" w:hAnsi="Arial"/>
          <w:sz w:val="16"/>
          <w:szCs w:val="16"/>
          <w:i w:val="1"/>
          <w:iCs w:val="1"/>
          <w:color w:val="auto"/>
        </w:rPr>
        <w:t xml:space="preserve">Committee Members. </w:t>
      </w:r>
      <w:r>
        <w:rPr>
          <w:rFonts w:ascii="Arial" w:cs="Arial" w:eastAsia="Arial" w:hAnsi="Arial"/>
          <w:sz w:val="16"/>
          <w:szCs w:val="16"/>
          <w:color w:val="auto"/>
        </w:rPr>
        <w:t>Each member of the Audit Committee, the HRCC and the Governance and Compliance Committee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Chairs) is entitled to receive a supplemental annual cash retainer of $15,000.</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2025 Equity Awards</w:t>
      </w:r>
    </w:p>
    <w:p>
      <w:pPr>
        <w:spacing w:after="0" w:line="122" w:lineRule="exact"/>
        <w:rPr>
          <w:sz w:val="20"/>
          <w:szCs w:val="20"/>
          <w:color w:val="auto"/>
        </w:rPr>
      </w:pPr>
    </w:p>
    <w:p>
      <w:pPr>
        <w:ind w:left="680" w:right="180"/>
        <w:spacing w:after="0" w:line="271" w:lineRule="auto"/>
        <w:rPr>
          <w:sz w:val="20"/>
          <w:szCs w:val="20"/>
          <w:color w:val="auto"/>
        </w:rPr>
      </w:pPr>
      <w:r>
        <w:rPr>
          <w:rFonts w:ascii="Arial" w:cs="Arial" w:eastAsia="Arial" w:hAnsi="Arial"/>
          <w:sz w:val="16"/>
          <w:szCs w:val="16"/>
          <w:i w:val="1"/>
          <w:iCs w:val="1"/>
          <w:color w:val="auto"/>
        </w:rPr>
        <w:t xml:space="preserve">Annual Awards. </w:t>
      </w:r>
      <w:r>
        <w:rPr>
          <w:rFonts w:ascii="Arial" w:cs="Arial" w:eastAsia="Arial" w:hAnsi="Arial"/>
          <w:sz w:val="16"/>
          <w:szCs w:val="16"/>
          <w:color w:val="auto"/>
        </w:rPr>
        <w:t>Each non-employee director is entitled to receive an annual equity grant under the Keenova Therapeutics plc 2025</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Incentive Plan (formerly, the Mallinckrodt Pharmaceuticals 2025 Stock and Incentive Plan, the “2025 Plan”) of RSUs valued at $375,000 on the date of the Annual Meeting. The RSUs vest on the earlier of (i) the first anniversary of the grant date and (ii) the date of the Company’s next annual general meeting of shareholders.</w:t>
      </w:r>
    </w:p>
    <w:p>
      <w:pPr>
        <w:spacing w:after="0" w:line="141" w:lineRule="exact"/>
        <w:rPr>
          <w:sz w:val="20"/>
          <w:szCs w:val="20"/>
          <w:color w:val="auto"/>
        </w:rPr>
      </w:pPr>
    </w:p>
    <w:p>
      <w:pPr>
        <w:jc w:val="both"/>
        <w:ind w:left="680" w:right="360"/>
        <w:spacing w:after="0" w:line="301" w:lineRule="auto"/>
        <w:rPr>
          <w:sz w:val="20"/>
          <w:szCs w:val="20"/>
          <w:color w:val="auto"/>
        </w:rPr>
      </w:pPr>
      <w:r>
        <w:rPr>
          <w:rFonts w:ascii="Arial" w:cs="Arial" w:eastAsia="Arial" w:hAnsi="Arial"/>
          <w:sz w:val="15"/>
          <w:szCs w:val="15"/>
          <w:i w:val="1"/>
          <w:iCs w:val="1"/>
          <w:color w:val="auto"/>
        </w:rPr>
        <w:t xml:space="preserve">2025 Launch Awards. </w:t>
      </w:r>
      <w:r>
        <w:rPr>
          <w:rFonts w:ascii="Arial" w:cs="Arial" w:eastAsia="Arial" w:hAnsi="Arial"/>
          <w:sz w:val="15"/>
          <w:szCs w:val="15"/>
          <w:color w:val="auto"/>
        </w:rPr>
        <w:t>In August 2025, each then-serving non-employee director received an equity grant under our 2025 Plan of</w:t>
      </w:r>
      <w:r>
        <w:rPr>
          <w:rFonts w:ascii="Arial" w:cs="Arial" w:eastAsia="Arial" w:hAnsi="Arial"/>
          <w:sz w:val="15"/>
          <w:szCs w:val="15"/>
          <w:i w:val="1"/>
          <w:iCs w:val="1"/>
          <w:color w:val="auto"/>
        </w:rPr>
        <w:t xml:space="preserve"> </w:t>
      </w:r>
      <w:r>
        <w:rPr>
          <w:rFonts w:ascii="Arial" w:cs="Arial" w:eastAsia="Arial" w:hAnsi="Arial"/>
          <w:sz w:val="15"/>
          <w:szCs w:val="15"/>
          <w:color w:val="auto"/>
        </w:rPr>
        <w:t>RSUs valued at $375,000, or $500,000 in the case of Paul Efron, the then-serving Non-Executive Chair (collectively the “Launch Awards”). In September 2025, Marc Yoskowitz was appointed as Non-Executive Chair and, in connection with such appointment,</w:t>
      </w:r>
    </w:p>
    <w:p>
      <w:pPr>
        <w:sectPr>
          <w:pgSz w:w="11900" w:h="16838" w:orient="portrait"/>
          <w:cols w:equalWidth="0" w:num="1">
            <w:col w:w="10100"/>
          </w:cols>
          <w:pgMar w:left="580" w:top="97" w:right="1219" w:bottom="1440" w:gutter="0" w:footer="0" w:header="0"/>
        </w:sectPr>
      </w:pPr>
    </w:p>
    <w:p>
      <w:pPr>
        <w:spacing w:after="0" w:line="297"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​18 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7540"/>
        <w:spacing w:after="0"/>
        <w:rPr>
          <w:sz w:val="20"/>
          <w:szCs w:val="20"/>
          <w:color w:val="auto"/>
        </w:rPr>
      </w:pPr>
      <w:r>
        <w:rPr>
          <w:rFonts w:ascii="Arial" w:cs="Arial" w:eastAsia="Arial" w:hAnsi="Arial"/>
          <w:sz w:val="13"/>
          <w:szCs w:val="13"/>
          <w:color w:val="323232"/>
        </w:rPr>
        <w:t>Compensation of Non-Employee Directors</w:t>
      </w:r>
    </w:p>
    <w:p>
      <w:pPr>
        <w:spacing w:after="0" w:line="200" w:lineRule="exact"/>
        <w:rPr>
          <w:sz w:val="20"/>
          <w:szCs w:val="20"/>
          <w:color w:val="auto"/>
        </w:rPr>
      </w:pPr>
    </w:p>
    <w:p>
      <w:pPr>
        <w:spacing w:after="0" w:line="216" w:lineRule="exact"/>
        <w:rPr>
          <w:sz w:val="20"/>
          <w:szCs w:val="20"/>
          <w:color w:val="auto"/>
        </w:rPr>
      </w:pPr>
    </w:p>
    <w:p>
      <w:pPr>
        <w:ind w:left="680" w:right="160"/>
        <w:spacing w:after="0" w:line="266" w:lineRule="auto"/>
        <w:rPr>
          <w:sz w:val="20"/>
          <w:szCs w:val="20"/>
          <w:color w:val="auto"/>
        </w:rPr>
      </w:pPr>
      <w:r>
        <w:rPr>
          <w:rFonts w:ascii="Arial" w:cs="Arial" w:eastAsia="Arial" w:hAnsi="Arial"/>
          <w:sz w:val="16"/>
          <w:szCs w:val="16"/>
          <w:color w:val="auto"/>
        </w:rPr>
        <w:t>received additional Launch Award RSUs such that his total Launch Award amount granted in 2025 was valued at $500,000. The Launch Awards vest on the earlier of (i) the first anniversary of the grant date and (ii) the date of the Company’s next annual general meeting of shareholders.</w:t>
      </w:r>
    </w:p>
    <w:p>
      <w:pPr>
        <w:spacing w:after="0" w:line="131" w:lineRule="exact"/>
        <w:rPr>
          <w:sz w:val="20"/>
          <w:szCs w:val="20"/>
          <w:color w:val="auto"/>
        </w:rPr>
      </w:pPr>
    </w:p>
    <w:p>
      <w:pPr>
        <w:ind w:left="680" w:right="60"/>
        <w:spacing w:after="0" w:line="252" w:lineRule="auto"/>
        <w:rPr>
          <w:sz w:val="20"/>
          <w:szCs w:val="20"/>
          <w:color w:val="auto"/>
        </w:rPr>
      </w:pPr>
      <w:r>
        <w:rPr>
          <w:rFonts w:ascii="Arial" w:cs="Arial" w:eastAsia="Arial" w:hAnsi="Arial"/>
          <w:sz w:val="16"/>
          <w:szCs w:val="16"/>
          <w:color w:val="auto"/>
        </w:rPr>
        <w:t>The applicable award agreements provide that, in the event of a director’s termination of service by us without Cause (as defined in the 2025 Plan), the director’s unvested Launch Awards will vest pro rata based on the date of termination effective as of the director’s execution of a release of claims in the Company’s customary form; provided that in the event such termination occurs in connection with a Change in Control (as defined in the 2025 Plan), the Launch Awards will not be subject to proration and will vest in full if the awards are not assumed by the acquiror or the director is terminated involuntarily within 12 months following a Change in Control. As further described in the applicable award agreements, in the event of a director’s death or disability, the director’s unvested Launch Awards will vest in full. For additional information regarding the features of Launch Awards granted under the 2025 Plan, see the section entitled “Equity Compensation Plan Information — 2025 Plan.”</w:t>
      </w:r>
    </w:p>
    <w:p>
      <w:pPr>
        <w:spacing w:after="0" w:line="142" w:lineRule="exact"/>
        <w:rPr>
          <w:sz w:val="20"/>
          <w:szCs w:val="20"/>
          <w:color w:val="auto"/>
        </w:rPr>
      </w:pPr>
    </w:p>
    <w:p>
      <w:pPr>
        <w:jc w:val="both"/>
        <w:ind w:left="680" w:right="180"/>
        <w:spacing w:after="0" w:line="259" w:lineRule="auto"/>
        <w:rPr>
          <w:sz w:val="20"/>
          <w:szCs w:val="20"/>
          <w:color w:val="auto"/>
        </w:rPr>
      </w:pPr>
      <w:r>
        <w:rPr>
          <w:rFonts w:ascii="Arial" w:cs="Arial" w:eastAsia="Arial" w:hAnsi="Arial"/>
          <w:sz w:val="16"/>
          <w:szCs w:val="16"/>
          <w:color w:val="auto"/>
        </w:rPr>
        <w:t>Given the lack of an ordinary market for the Company’s ordinary shares, and so long as the Company is not listed on a recognized stock exchange, the Company will provide its non-employee directors with the opportunity to forfeit a portion of the ordinary shares that they would otherwise become entitled to receive upon the vesting of their Launch Awards in exchange for a cash payment from the Company in order to facilitate the ability to satisfy certain tax obligations related to the Launch Awards scheduled to vest.</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Other Compensation</w:t>
      </w:r>
    </w:p>
    <w:p>
      <w:pPr>
        <w:spacing w:after="0" w:line="126" w:lineRule="exact"/>
        <w:rPr>
          <w:sz w:val="20"/>
          <w:szCs w:val="20"/>
          <w:color w:val="auto"/>
        </w:rPr>
      </w:pPr>
    </w:p>
    <w:p>
      <w:pPr>
        <w:ind w:left="680" w:right="260"/>
        <w:spacing w:after="0" w:line="321" w:lineRule="auto"/>
        <w:rPr>
          <w:sz w:val="20"/>
          <w:szCs w:val="20"/>
          <w:color w:val="auto"/>
        </w:rPr>
      </w:pPr>
      <w:r>
        <w:rPr>
          <w:rFonts w:ascii="Arial" w:cs="Arial" w:eastAsia="Arial" w:hAnsi="Arial"/>
          <w:sz w:val="15"/>
          <w:szCs w:val="15"/>
          <w:color w:val="auto"/>
        </w:rPr>
        <w:t>Directors are reimbursed for reasonable out-of-pocket expenses incurred in attending Board meetings, committee meetings and shareholder meetings. Directors are typically provided with commercial aircraft airfare in order to travel to and from such meetings.</w:t>
      </w:r>
    </w:p>
    <w:p>
      <w:pPr>
        <w:spacing w:after="0" w:line="92" w:lineRule="exact"/>
        <w:rPr>
          <w:sz w:val="20"/>
          <w:szCs w:val="20"/>
          <w:color w:val="auto"/>
        </w:rPr>
      </w:pPr>
    </w:p>
    <w:p>
      <w:pPr>
        <w:ind w:left="680" w:right="60"/>
        <w:spacing w:after="0" w:line="259" w:lineRule="auto"/>
        <w:rPr>
          <w:sz w:val="20"/>
          <w:szCs w:val="20"/>
          <w:color w:val="auto"/>
        </w:rPr>
      </w:pPr>
      <w:r>
        <w:rPr>
          <w:rFonts w:ascii="Arial" w:cs="Arial" w:eastAsia="Arial" w:hAnsi="Arial"/>
          <w:sz w:val="16"/>
          <w:szCs w:val="16"/>
          <w:color w:val="auto"/>
        </w:rPr>
        <w:t>Due to the Company’s organizational structure, directors may be subject to the Irish income tax laws. For this reason, the Company makes available for directors Irish income tax services up to approximately €1,500 annually (or approximately $1,763 as of December 31, 2025). In addition, to enhance the cybersecurity of our directors, the Company makes available to directors an internet data scrubbing service for up to approximately $1,000 annually.</w:t>
      </w:r>
    </w:p>
    <w:p>
      <w:pPr>
        <w:spacing w:after="0" w:line="151" w:lineRule="exact"/>
        <w:rPr>
          <w:sz w:val="20"/>
          <w:szCs w:val="20"/>
          <w:color w:val="auto"/>
        </w:rPr>
      </w:pPr>
    </w:p>
    <w:p>
      <w:pPr>
        <w:ind w:left="680" w:right="140"/>
        <w:spacing w:after="0" w:line="286" w:lineRule="auto"/>
        <w:rPr>
          <w:sz w:val="20"/>
          <w:szCs w:val="20"/>
          <w:color w:val="auto"/>
        </w:rPr>
      </w:pPr>
      <w:r>
        <w:rPr>
          <w:rFonts w:ascii="Arial" w:cs="Arial" w:eastAsia="Arial" w:hAnsi="Arial"/>
          <w:sz w:val="16"/>
          <w:szCs w:val="16"/>
          <w:color w:val="auto"/>
        </w:rPr>
        <w:t>We are committed to supporting directors’ continuing education efforts. Therefore, we bear the cost of directors’ annual membership in the National Association of Corporate Directors (“NACD”).</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2025 Director Compensation Table</w:t>
      </w:r>
    </w:p>
    <w:p>
      <w:pPr>
        <w:spacing w:after="0" w:line="112" w:lineRule="exact"/>
        <w:rPr>
          <w:sz w:val="20"/>
          <w:szCs w:val="20"/>
          <w:color w:val="auto"/>
        </w:rPr>
      </w:pPr>
    </w:p>
    <w:p>
      <w:pPr>
        <w:ind w:left="680" w:right="220"/>
        <w:spacing w:after="0" w:line="259" w:lineRule="auto"/>
        <w:rPr>
          <w:sz w:val="20"/>
          <w:szCs w:val="20"/>
          <w:color w:val="auto"/>
        </w:rPr>
      </w:pPr>
      <w:r>
        <w:rPr>
          <w:rFonts w:ascii="Arial" w:cs="Arial" w:eastAsia="Arial" w:hAnsi="Arial"/>
          <w:sz w:val="16"/>
          <w:szCs w:val="16"/>
          <w:color w:val="auto"/>
        </w:rPr>
        <w:t>The following table provides information concerning compensation for each of our non-employee directors for fiscal 2025. Compensation for Sigurdur O. Olafsson, our President and CEO, is shown in the Summary Compensation Table included in the section entitled “Executive Compensation — Summary Compensation Table.” Mr. Olafsson did not receive additional compensation for his services as a director.</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 w:type="dxa"/>
            <w:vAlign w:val="bottom"/>
            <w:shd w:val="clear" w:color="auto" w:fill="B2EEDE"/>
          </w:tcPr>
          <w:p>
            <w:pPr>
              <w:spacing w:after="0"/>
              <w:rPr>
                <w:sz w:val="17"/>
                <w:szCs w:val="17"/>
                <w:color w:val="auto"/>
              </w:rPr>
            </w:pPr>
          </w:p>
        </w:tc>
        <w:tc>
          <w:tcPr>
            <w:tcW w:w="2500" w:type="dxa"/>
            <w:vAlign w:val="bottom"/>
            <w:shd w:val="clear" w:color="auto" w:fill="B2EEDE"/>
          </w:tcPr>
          <w:p>
            <w:pPr>
              <w:spacing w:after="0"/>
              <w:rPr>
                <w:sz w:val="17"/>
                <w:szCs w:val="17"/>
                <w:color w:val="auto"/>
              </w:rPr>
            </w:pPr>
          </w:p>
        </w:tc>
        <w:tc>
          <w:tcPr>
            <w:tcW w:w="1220" w:type="dxa"/>
            <w:vAlign w:val="bottom"/>
            <w:shd w:val="clear" w:color="auto" w:fill="B2EEDE"/>
          </w:tcPr>
          <w:p>
            <w:pPr>
              <w:spacing w:after="0"/>
              <w:rPr>
                <w:sz w:val="17"/>
                <w:szCs w:val="17"/>
                <w:color w:val="auto"/>
              </w:rPr>
            </w:pPr>
          </w:p>
        </w:tc>
        <w:tc>
          <w:tcPr>
            <w:tcW w:w="1060" w:type="dxa"/>
            <w:vAlign w:val="bottom"/>
            <w:gridSpan w:val="2"/>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Fees Earned or</w:t>
            </w:r>
          </w:p>
        </w:tc>
        <w:tc>
          <w:tcPr>
            <w:tcW w:w="860" w:type="dxa"/>
            <w:vAlign w:val="bottom"/>
            <w:vMerge w:val="restart"/>
            <w:shd w:val="clear" w:color="auto" w:fill="B2EEDE"/>
          </w:tcPr>
          <w:p>
            <w:pPr>
              <w:ind w:left="340"/>
              <w:spacing w:after="0"/>
              <w:rPr>
                <w:sz w:val="20"/>
                <w:szCs w:val="20"/>
                <w:color w:val="auto"/>
              </w:rPr>
            </w:pPr>
            <w:r>
              <w:rPr>
                <w:rFonts w:ascii="Arial" w:cs="Arial" w:eastAsia="Arial" w:hAnsi="Arial"/>
                <w:sz w:val="14"/>
                <w:szCs w:val="14"/>
                <w:b w:val="1"/>
                <w:bCs w:val="1"/>
                <w:color w:val="auto"/>
              </w:rPr>
              <w:t>Stock</w:t>
            </w:r>
          </w:p>
        </w:tc>
        <w:tc>
          <w:tcPr>
            <w:tcW w:w="200" w:type="dxa"/>
            <w:vAlign w:val="bottom"/>
            <w:shd w:val="clear" w:color="auto" w:fill="B2EEDE"/>
          </w:tcPr>
          <w:p>
            <w:pPr>
              <w:spacing w:after="0"/>
              <w:rPr>
                <w:sz w:val="17"/>
                <w:szCs w:val="17"/>
                <w:color w:val="auto"/>
              </w:rPr>
            </w:pPr>
          </w:p>
        </w:tc>
        <w:tc>
          <w:tcPr>
            <w:tcW w:w="1020" w:type="dxa"/>
            <w:vAlign w:val="bottom"/>
            <w:gridSpan w:val="2"/>
            <w:shd w:val="clear" w:color="auto" w:fill="B2EEDE"/>
          </w:tcPr>
          <w:p>
            <w:pPr>
              <w:jc w:val="right"/>
              <w:ind w:right="60"/>
              <w:spacing w:after="0"/>
              <w:rPr>
                <w:sz w:val="20"/>
                <w:szCs w:val="20"/>
                <w:color w:val="auto"/>
              </w:rPr>
            </w:pPr>
            <w:r>
              <w:rPr>
                <w:rFonts w:ascii="Arial" w:cs="Arial" w:eastAsia="Arial" w:hAnsi="Arial"/>
                <w:sz w:val="14"/>
                <w:szCs w:val="14"/>
                <w:b w:val="1"/>
                <w:bCs w:val="1"/>
                <w:color w:val="auto"/>
              </w:rPr>
              <w:t>Non-Equity</w:t>
            </w:r>
          </w:p>
        </w:tc>
        <w:tc>
          <w:tcPr>
            <w:tcW w:w="240" w:type="dxa"/>
            <w:vAlign w:val="bottom"/>
            <w:shd w:val="clear" w:color="auto" w:fill="B2EEDE"/>
          </w:tcPr>
          <w:p>
            <w:pPr>
              <w:spacing w:after="0"/>
              <w:rPr>
                <w:sz w:val="17"/>
                <w:szCs w:val="17"/>
                <w:color w:val="auto"/>
              </w:rPr>
            </w:pPr>
          </w:p>
        </w:tc>
        <w:tc>
          <w:tcPr>
            <w:tcW w:w="200" w:type="dxa"/>
            <w:vAlign w:val="bottom"/>
            <w:shd w:val="clear" w:color="auto" w:fill="B2EEDE"/>
          </w:tcPr>
          <w:p>
            <w:pPr>
              <w:spacing w:after="0"/>
              <w:rPr>
                <w:sz w:val="17"/>
                <w:szCs w:val="17"/>
                <w:color w:val="auto"/>
              </w:rPr>
            </w:pPr>
          </w:p>
        </w:tc>
        <w:tc>
          <w:tcPr>
            <w:tcW w:w="820" w:type="dxa"/>
            <w:vAlign w:val="bottom"/>
            <w:vMerge w:val="restart"/>
            <w:shd w:val="clear" w:color="auto" w:fill="B2EEDE"/>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340" w:type="dxa"/>
            <w:vAlign w:val="bottom"/>
            <w:shd w:val="clear" w:color="auto" w:fill="B2EEDE"/>
          </w:tcPr>
          <w:p>
            <w:pPr>
              <w:spacing w:after="0"/>
              <w:rPr>
                <w:sz w:val="17"/>
                <w:szCs w:val="17"/>
                <w:color w:val="auto"/>
              </w:rPr>
            </w:pPr>
          </w:p>
        </w:tc>
        <w:tc>
          <w:tcPr>
            <w:tcW w:w="640" w:type="dxa"/>
            <w:vAlign w:val="bottom"/>
            <w:shd w:val="clear" w:color="auto" w:fill="B2EEDE"/>
          </w:tcPr>
          <w:p>
            <w:pPr>
              <w:spacing w:after="0"/>
              <w:rPr>
                <w:sz w:val="17"/>
                <w:szCs w:val="17"/>
                <w:color w:val="auto"/>
              </w:rPr>
            </w:pPr>
          </w:p>
        </w:tc>
        <w:tc>
          <w:tcPr>
            <w:tcW w:w="100" w:type="dxa"/>
            <w:vAlign w:val="bottom"/>
            <w:shd w:val="clear" w:color="auto" w:fill="B2EED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0" w:type="dxa"/>
            <w:vAlign w:val="bottom"/>
            <w:shd w:val="clear" w:color="auto" w:fill="B2EEDE"/>
          </w:tcPr>
          <w:p>
            <w:pPr>
              <w:spacing w:after="0"/>
              <w:rPr>
                <w:sz w:val="15"/>
                <w:szCs w:val="15"/>
                <w:color w:val="auto"/>
              </w:rPr>
            </w:pPr>
          </w:p>
        </w:tc>
        <w:tc>
          <w:tcPr>
            <w:tcW w:w="2500" w:type="dxa"/>
            <w:vAlign w:val="bottom"/>
            <w:shd w:val="clear" w:color="auto" w:fill="B2EEDE"/>
          </w:tcPr>
          <w:p>
            <w:pPr>
              <w:spacing w:after="0"/>
              <w:rPr>
                <w:sz w:val="15"/>
                <w:szCs w:val="15"/>
                <w:color w:val="auto"/>
              </w:rPr>
            </w:pPr>
          </w:p>
        </w:tc>
        <w:tc>
          <w:tcPr>
            <w:tcW w:w="1220" w:type="dxa"/>
            <w:vAlign w:val="bottom"/>
            <w:shd w:val="clear" w:color="auto" w:fill="B2EEDE"/>
          </w:tcPr>
          <w:p>
            <w:pPr>
              <w:spacing w:after="0"/>
              <w:rPr>
                <w:sz w:val="15"/>
                <w:szCs w:val="15"/>
                <w:color w:val="auto"/>
              </w:rPr>
            </w:pPr>
          </w:p>
        </w:tc>
        <w:tc>
          <w:tcPr>
            <w:tcW w:w="1060" w:type="dxa"/>
            <w:vAlign w:val="bottom"/>
            <w:gridSpan w:val="2"/>
            <w:vMerge w:val="continue"/>
            <w:shd w:val="clear" w:color="auto" w:fill="B2EEDE"/>
          </w:tcPr>
          <w:p>
            <w:pPr>
              <w:spacing w:after="0"/>
              <w:rPr>
                <w:sz w:val="15"/>
                <w:szCs w:val="15"/>
                <w:color w:val="auto"/>
              </w:rPr>
            </w:pPr>
          </w:p>
        </w:tc>
        <w:tc>
          <w:tcPr>
            <w:tcW w:w="860" w:type="dxa"/>
            <w:vAlign w:val="bottom"/>
            <w:vMerge w:val="continue"/>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10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Incentive Plan</w:t>
            </w:r>
          </w:p>
        </w:tc>
        <w:tc>
          <w:tcPr>
            <w:tcW w:w="24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820" w:type="dxa"/>
            <w:vAlign w:val="bottom"/>
            <w:vMerge w:val="continue"/>
            <w:shd w:val="clear" w:color="auto" w:fill="B2EEDE"/>
          </w:tcPr>
          <w:p>
            <w:pPr>
              <w:spacing w:after="0"/>
              <w:rPr>
                <w:sz w:val="15"/>
                <w:szCs w:val="15"/>
                <w:color w:val="auto"/>
              </w:rPr>
            </w:pPr>
          </w:p>
        </w:tc>
        <w:tc>
          <w:tcPr>
            <w:tcW w:w="340" w:type="dxa"/>
            <w:vAlign w:val="bottom"/>
            <w:shd w:val="clear" w:color="auto" w:fill="B2EEDE"/>
          </w:tcPr>
          <w:p>
            <w:pPr>
              <w:spacing w:after="0"/>
              <w:rPr>
                <w:sz w:val="15"/>
                <w:szCs w:val="15"/>
                <w:color w:val="auto"/>
              </w:rPr>
            </w:pPr>
          </w:p>
        </w:tc>
        <w:tc>
          <w:tcPr>
            <w:tcW w:w="640" w:type="dxa"/>
            <w:vAlign w:val="bottom"/>
            <w:vMerge w:val="restart"/>
            <w:shd w:val="clear" w:color="auto" w:fill="B2EEDE"/>
          </w:tcPr>
          <w:p>
            <w:pPr>
              <w:jc w:val="center"/>
              <w:ind w:right="67"/>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 w:type="dxa"/>
            <w:vAlign w:val="bottom"/>
            <w:shd w:val="clear" w:color="auto" w:fill="B2EEDE"/>
          </w:tcPr>
          <w:p>
            <w:pPr>
              <w:spacing w:after="0"/>
              <w:rPr>
                <w:sz w:val="15"/>
                <w:szCs w:val="15"/>
                <w:color w:val="auto"/>
              </w:rPr>
            </w:pPr>
          </w:p>
        </w:tc>
        <w:tc>
          <w:tcPr>
            <w:tcW w:w="2500" w:type="dxa"/>
            <w:vAlign w:val="bottom"/>
            <w:shd w:val="clear" w:color="auto" w:fill="B2EEDE"/>
          </w:tcPr>
          <w:p>
            <w:pPr>
              <w:spacing w:after="0"/>
              <w:rPr>
                <w:sz w:val="15"/>
                <w:szCs w:val="15"/>
                <w:color w:val="auto"/>
              </w:rPr>
            </w:pPr>
          </w:p>
        </w:tc>
        <w:tc>
          <w:tcPr>
            <w:tcW w:w="1220" w:type="dxa"/>
            <w:vAlign w:val="bottom"/>
            <w:shd w:val="clear" w:color="auto" w:fill="B2EEDE"/>
          </w:tcPr>
          <w:p>
            <w:pPr>
              <w:spacing w:after="0"/>
              <w:rPr>
                <w:sz w:val="15"/>
                <w:szCs w:val="15"/>
                <w:color w:val="auto"/>
              </w:rPr>
            </w:pPr>
          </w:p>
        </w:tc>
        <w:tc>
          <w:tcPr>
            <w:tcW w:w="10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Paid in Cash</w:t>
            </w:r>
          </w:p>
        </w:tc>
        <w:tc>
          <w:tcPr>
            <w:tcW w:w="860" w:type="dxa"/>
            <w:vAlign w:val="bottom"/>
            <w:shd w:val="clear" w:color="auto" w:fill="B2EEDE"/>
          </w:tcPr>
          <w:p>
            <w:pPr>
              <w:ind w:left="260"/>
              <w:spacing w:after="0"/>
              <w:rPr>
                <w:sz w:val="20"/>
                <w:szCs w:val="20"/>
                <w:color w:val="auto"/>
              </w:rPr>
            </w:pPr>
            <w:r>
              <w:rPr>
                <w:rFonts w:ascii="Arial" w:cs="Arial" w:eastAsia="Arial" w:hAnsi="Arial"/>
                <w:sz w:val="14"/>
                <w:szCs w:val="14"/>
                <w:b w:val="1"/>
                <w:bCs w:val="1"/>
                <w:color w:val="auto"/>
              </w:rPr>
              <w:t>Awards</w:t>
            </w:r>
          </w:p>
        </w:tc>
        <w:tc>
          <w:tcPr>
            <w:tcW w:w="200" w:type="dxa"/>
            <w:vAlign w:val="bottom"/>
            <w:shd w:val="clear" w:color="auto" w:fill="B2EEDE"/>
          </w:tcPr>
          <w:p>
            <w:pPr>
              <w:spacing w:after="0"/>
              <w:rPr>
                <w:sz w:val="15"/>
                <w:szCs w:val="15"/>
                <w:color w:val="auto"/>
              </w:rPr>
            </w:pPr>
          </w:p>
        </w:tc>
        <w:tc>
          <w:tcPr>
            <w:tcW w:w="10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Compensation</w:t>
            </w:r>
          </w:p>
        </w:tc>
        <w:tc>
          <w:tcPr>
            <w:tcW w:w="240" w:type="dxa"/>
            <w:vAlign w:val="bottom"/>
            <w:shd w:val="clear" w:color="auto" w:fill="B2EEDE"/>
          </w:tcPr>
          <w:p>
            <w:pPr>
              <w:spacing w:after="0"/>
              <w:rPr>
                <w:sz w:val="15"/>
                <w:szCs w:val="15"/>
                <w:color w:val="auto"/>
              </w:rPr>
            </w:pPr>
          </w:p>
        </w:tc>
        <w:tc>
          <w:tcPr>
            <w:tcW w:w="10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Compensation</w:t>
            </w:r>
          </w:p>
        </w:tc>
        <w:tc>
          <w:tcPr>
            <w:tcW w:w="340" w:type="dxa"/>
            <w:vAlign w:val="bottom"/>
            <w:shd w:val="clear" w:color="auto" w:fill="B2EEDE"/>
          </w:tcPr>
          <w:p>
            <w:pPr>
              <w:spacing w:after="0"/>
              <w:rPr>
                <w:sz w:val="15"/>
                <w:szCs w:val="15"/>
                <w:color w:val="auto"/>
              </w:rPr>
            </w:pPr>
          </w:p>
        </w:tc>
        <w:tc>
          <w:tcPr>
            <w:tcW w:w="640" w:type="dxa"/>
            <w:vAlign w:val="bottom"/>
            <w:vMerge w:val="continue"/>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auto"/>
            </w:tcBorders>
            <w:gridSpan w:val="2"/>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Name</w:t>
            </w:r>
          </w:p>
        </w:tc>
        <w:tc>
          <w:tcPr>
            <w:tcW w:w="1220" w:type="dxa"/>
            <w:vAlign w:val="bottom"/>
            <w:tcBorders>
              <w:bottom w:val="single" w:sz="8" w:color="auto"/>
            </w:tcBorders>
            <w:shd w:val="clear" w:color="auto" w:fill="B2EEDE"/>
          </w:tcPr>
          <w:p>
            <w:pPr>
              <w:ind w:left="1060"/>
              <w:spacing w:after="0"/>
              <w:rPr>
                <w:sz w:val="20"/>
                <w:szCs w:val="20"/>
                <w:color w:val="auto"/>
              </w:rPr>
            </w:pPr>
            <w:r>
              <w:rPr>
                <w:rFonts w:ascii="Arial" w:cs="Arial" w:eastAsia="Arial" w:hAnsi="Arial"/>
                <w:sz w:val="14"/>
                <w:szCs w:val="14"/>
                <w:b w:val="1"/>
                <w:bCs w:val="1"/>
                <w:color w:val="auto"/>
              </w:rPr>
              <w:t>​ ​</w:t>
            </w:r>
          </w:p>
        </w:tc>
        <w:tc>
          <w:tcPr>
            <w:tcW w:w="320" w:type="dxa"/>
            <w:vAlign w:val="bottom"/>
            <w:tcBorders>
              <w:bottom w:val="single" w:sz="8" w:color="auto"/>
            </w:tcBorders>
            <w:shd w:val="clear" w:color="auto" w:fill="B2EEDE"/>
          </w:tcPr>
          <w:p>
            <w:pPr>
              <w:spacing w:after="0"/>
              <w:rPr>
                <w:sz w:val="18"/>
                <w:szCs w:val="18"/>
                <w:color w:val="auto"/>
              </w:rPr>
            </w:pPr>
          </w:p>
        </w:tc>
        <w:tc>
          <w:tcPr>
            <w:tcW w:w="740" w:type="dxa"/>
            <w:vAlign w:val="bottom"/>
            <w:tcBorders>
              <w:bottom w:val="single" w:sz="8" w:color="auto"/>
            </w:tcBorders>
            <w:shd w:val="clear" w:color="auto" w:fill="B2EEDE"/>
          </w:tcPr>
          <w:p>
            <w:pPr>
              <w:jc w:val="center"/>
              <w:ind w:right="220"/>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c>
          <w:tcPr>
            <w:tcW w:w="860" w:type="dxa"/>
            <w:vAlign w:val="bottom"/>
            <w:tcBorders>
              <w:bottom w:val="single" w:sz="8" w:color="auto"/>
            </w:tcBorders>
            <w:shd w:val="clear" w:color="auto" w:fill="B2EEDE"/>
          </w:tcPr>
          <w:p>
            <w:pPr>
              <w:ind w:left="8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vertAlign w:val="superscript"/>
              </w:rPr>
              <w:t>(4)</w:t>
            </w:r>
          </w:p>
        </w:tc>
        <w:tc>
          <w:tcPr>
            <w:tcW w:w="2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300" w:type="dxa"/>
            <w:vAlign w:val="bottom"/>
            <w:tcBorders>
              <w:bottom w:val="single" w:sz="8" w:color="auto"/>
            </w:tcBorders>
            <w:shd w:val="clear" w:color="auto" w:fill="B2EEDE"/>
          </w:tcPr>
          <w:p>
            <w:pPr>
              <w:spacing w:after="0"/>
              <w:rPr>
                <w:sz w:val="18"/>
                <w:szCs w:val="18"/>
                <w:color w:val="auto"/>
              </w:rPr>
            </w:pPr>
          </w:p>
        </w:tc>
        <w:tc>
          <w:tcPr>
            <w:tcW w:w="720" w:type="dxa"/>
            <w:vAlign w:val="bottom"/>
            <w:tcBorders>
              <w:bottom w:val="single" w:sz="8" w:color="auto"/>
            </w:tcBorders>
            <w:shd w:val="clear" w:color="auto" w:fill="B2EEDE"/>
          </w:tcPr>
          <w:p>
            <w:pPr>
              <w:jc w:val="center"/>
              <w:ind w:right="200"/>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(5)</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shd w:val="clear" w:color="auto" w:fill="B2EEDE"/>
          </w:tcPr>
          <w:p>
            <w:pPr>
              <w:spacing w:after="0"/>
              <w:rPr>
                <w:sz w:val="18"/>
                <w:szCs w:val="18"/>
                <w:color w:val="auto"/>
              </w:rPr>
            </w:pPr>
          </w:p>
        </w:tc>
        <w:tc>
          <w:tcPr>
            <w:tcW w:w="820" w:type="dxa"/>
            <w:vAlign w:val="bottom"/>
            <w:tcBorders>
              <w:bottom w:val="single" w:sz="8" w:color="auto"/>
            </w:tcBorders>
            <w:shd w:val="clear" w:color="auto" w:fill="B2EEDE"/>
          </w:tcPr>
          <w:p>
            <w:pPr>
              <w:jc w:val="center"/>
              <w:ind w:right="100"/>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shd w:val="clear" w:color="auto" w:fill="B2EEDE"/>
          </w:tcPr>
          <w:p>
            <w:pPr>
              <w:jc w:val="right"/>
              <w:ind w:right="20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Current Directors</w:t>
            </w:r>
            <w:r>
              <w:rPr>
                <w:rFonts w:ascii="Arial" w:cs="Arial" w:eastAsia="Arial" w:hAnsi="Arial"/>
                <w:sz w:val="17"/>
                <w:szCs w:val="17"/>
                <w:b w:val="1"/>
                <w:bCs w:val="1"/>
                <w:color w:val="auto"/>
                <w:vertAlign w:val="superscript"/>
              </w:rPr>
              <w:t>(1)</w:t>
            </w: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i w:val="1"/>
                <w:iCs w:val="1"/>
                <w:color w:val="auto"/>
              </w:rPr>
              <w:t>​ ​</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i w:val="1"/>
                <w:iCs w:val="1"/>
                <w:color w:val="auto"/>
              </w:rPr>
              <w:t>​</w:t>
            </w: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i w:val="1"/>
                <w:iCs w:val="1"/>
                <w:color w:val="auto"/>
              </w:rPr>
              <w:t>​</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i w:val="1"/>
                <w:i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w:t>
            </w:r>
          </w:p>
        </w:tc>
        <w:tc>
          <w:tcPr>
            <w:tcW w:w="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i w:val="1"/>
                <w:iCs w:val="1"/>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rPr>
              <w:t>​​ ​​</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Marc Yoskowitz</w:t>
            </w:r>
          </w:p>
        </w:tc>
        <w:tc>
          <w:tcPr>
            <w:tcW w:w="1220" w:type="dxa"/>
            <w:vAlign w:val="bottom"/>
            <w:tcBorders>
              <w:bottom w:val="single" w:sz="8" w:color="auto"/>
            </w:tcBorders>
            <w:shd w:val="clear" w:color="auto" w:fill="E5E5E5"/>
          </w:tcPr>
          <w:p>
            <w:pPr>
              <w:ind w:left="10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6"/>
                <w:szCs w:val="16"/>
                <w:color w:val="auto"/>
              </w:rPr>
              <w:t>79,011</w:t>
            </w:r>
          </w:p>
        </w:tc>
        <w:tc>
          <w:tcPr>
            <w:tcW w:w="106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​499,897</w:t>
            </w:r>
            <w:r>
              <w:rPr>
                <w:rFonts w:ascii="Arial" w:cs="Arial" w:eastAsia="Arial" w:hAnsi="Arial"/>
                <w:sz w:val="28"/>
                <w:szCs w:val="28"/>
                <w:color w:val="auto"/>
                <w:vertAlign w:val="subscript"/>
              </w:rPr>
              <w:t>​​ ​</w:t>
            </w:r>
          </w:p>
        </w:tc>
        <w:tc>
          <w:tcPr>
            <w:tcW w:w="300" w:type="dxa"/>
            <w:vAlign w:val="bottom"/>
            <w:tcBorders>
              <w:bottom w:val="single" w:sz="8" w:color="auto"/>
            </w:tcBorders>
            <w:shd w:val="clear" w:color="auto" w:fill="E5E5E5"/>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2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7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578,908</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Paul M. Bisaro</w:t>
            </w: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219,011</w:t>
            </w:r>
          </w:p>
        </w:tc>
        <w:tc>
          <w:tcPr>
            <w:tcW w:w="106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​374,923</w:t>
            </w:r>
            <w:r>
              <w:rPr>
                <w:rFonts w:ascii="Arial" w:cs="Arial" w:eastAsia="Arial" w:hAnsi="Arial"/>
                <w:sz w:val="28"/>
                <w:szCs w:val="28"/>
                <w:color w:val="auto"/>
                <w:vertAlign w:val="subscript"/>
              </w:rPr>
              <w:t>​​ ​</w:t>
            </w:r>
          </w:p>
        </w:tc>
        <w:tc>
          <w:tcPr>
            <w:tcW w:w="1020" w:type="dxa"/>
            <w:vAlign w:val="bottom"/>
            <w:tcBorders>
              <w:bottom w:val="single" w:sz="8" w:color="auto"/>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​5,423,077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​6,017,011</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Leslie Donato</w:t>
            </w:r>
          </w:p>
        </w:tc>
        <w:tc>
          <w:tcPr>
            <w:tcW w:w="1220" w:type="dxa"/>
            <w:vAlign w:val="bottom"/>
            <w:tcBorders>
              <w:bottom w:val="single" w:sz="8" w:color="auto"/>
            </w:tcBorders>
            <w:shd w:val="clear" w:color="auto" w:fill="E5E5E5"/>
          </w:tcPr>
          <w:p>
            <w:pPr>
              <w:ind w:left="10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6"/>
                <w:szCs w:val="16"/>
                <w:color w:val="auto"/>
              </w:rPr>
              <w:t>42,692</w:t>
            </w:r>
          </w:p>
        </w:tc>
        <w:tc>
          <w:tcPr>
            <w:tcW w:w="106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​374,923</w:t>
            </w:r>
            <w:r>
              <w:rPr>
                <w:rFonts w:ascii="Arial" w:cs="Arial" w:eastAsia="Arial" w:hAnsi="Arial"/>
                <w:sz w:val="28"/>
                <w:szCs w:val="28"/>
                <w:color w:val="auto"/>
                <w:vertAlign w:val="subscript"/>
              </w:rPr>
              <w:t>​​ ​</w:t>
            </w:r>
          </w:p>
        </w:tc>
        <w:tc>
          <w:tcPr>
            <w:tcW w:w="300" w:type="dxa"/>
            <w:vAlign w:val="bottom"/>
            <w:tcBorders>
              <w:bottom w:val="single" w:sz="8" w:color="auto"/>
            </w:tcBorders>
            <w:shd w:val="clear" w:color="auto" w:fill="E5E5E5"/>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2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7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417,615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Katina Dorton</w:t>
            </w: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186,538</w:t>
            </w:r>
          </w:p>
        </w:tc>
        <w:tc>
          <w:tcPr>
            <w:tcW w:w="106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​374,923</w:t>
            </w:r>
            <w:r>
              <w:rPr>
                <w:rFonts w:ascii="Arial" w:cs="Arial" w:eastAsia="Arial" w:hAnsi="Arial"/>
                <w:sz w:val="28"/>
                <w:szCs w:val="28"/>
                <w:color w:val="auto"/>
                <w:vertAlign w:val="subscript"/>
              </w:rPr>
              <w:t>​​ ​</w:t>
            </w:r>
          </w:p>
        </w:tc>
        <w:tc>
          <w:tcPr>
            <w:tcW w:w="1020" w:type="dxa"/>
            <w:vAlign w:val="bottom"/>
            <w:tcBorders>
              <w:bottom w:val="single" w:sz="8" w:color="auto"/>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​3,253,846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​3,815,307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Paul Efron</w:t>
            </w:r>
          </w:p>
        </w:tc>
        <w:tc>
          <w:tcPr>
            <w:tcW w:w="1220" w:type="dxa"/>
            <w:vAlign w:val="bottom"/>
            <w:tcBorders>
              <w:bottom w:val="single" w:sz="8" w:color="auto"/>
            </w:tcBorders>
            <w:shd w:val="clear" w:color="auto" w:fill="E5E5E5"/>
          </w:tcPr>
          <w:p>
            <w:pPr>
              <w:ind w:left="10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6"/>
                <w:szCs w:val="16"/>
                <w:color w:val="auto"/>
              </w:rPr>
              <w:t>93,516</w:t>
            </w:r>
          </w:p>
        </w:tc>
        <w:tc>
          <w:tcPr>
            <w:tcW w:w="106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​499,989</w:t>
            </w:r>
            <w:r>
              <w:rPr>
                <w:rFonts w:ascii="Arial" w:cs="Arial" w:eastAsia="Arial" w:hAnsi="Arial"/>
                <w:sz w:val="28"/>
                <w:szCs w:val="28"/>
                <w:color w:val="auto"/>
                <w:vertAlign w:val="subscript"/>
              </w:rPr>
              <w:t>​​ ​</w:t>
            </w:r>
          </w:p>
        </w:tc>
        <w:tc>
          <w:tcPr>
            <w:tcW w:w="300" w:type="dxa"/>
            <w:vAlign w:val="bottom"/>
            <w:tcBorders>
              <w:bottom w:val="single" w:sz="8" w:color="auto"/>
            </w:tcBorders>
            <w:shd w:val="clear" w:color="auto" w:fill="E5E5E5"/>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2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7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593,505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83"/>
        </w:trPr>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2500" w:type="dxa"/>
            <w:vAlign w:val="bottom"/>
          </w:tcPr>
          <w:p>
            <w:pPr>
              <w:ind w:left="80"/>
              <w:spacing w:after="0" w:line="183" w:lineRule="exact"/>
              <w:rPr>
                <w:sz w:val="20"/>
                <w:szCs w:val="20"/>
                <w:color w:val="auto"/>
              </w:rPr>
            </w:pPr>
            <w:r>
              <w:rPr>
                <w:rFonts w:ascii="Arial" w:cs="Arial" w:eastAsia="Arial" w:hAnsi="Arial"/>
                <w:sz w:val="16"/>
                <w:szCs w:val="16"/>
                <w:color w:val="auto"/>
              </w:rPr>
              <w:t>Scott Hirsch</w:t>
            </w:r>
          </w:p>
        </w:tc>
        <w:tc>
          <w:tcPr>
            <w:tcW w:w="122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20" w:type="dxa"/>
            <w:vAlign w:val="bottom"/>
          </w:tcPr>
          <w:p>
            <w:pPr>
              <w:ind w:left="24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line="183" w:lineRule="exact"/>
              <w:rPr>
                <w:sz w:val="20"/>
                <w:szCs w:val="20"/>
                <w:color w:val="auto"/>
              </w:rPr>
            </w:pPr>
            <w:r>
              <w:rPr>
                <w:rFonts w:ascii="Arial" w:cs="Arial" w:eastAsia="Arial" w:hAnsi="Arial"/>
                <w:sz w:val="16"/>
                <w:szCs w:val="16"/>
                <w:color w:val="auto"/>
                <w:w w:val="96"/>
              </w:rPr>
              <w:t>18,049</w:t>
            </w:r>
            <w:r>
              <w:rPr>
                <w:rFonts w:ascii="Arial" w:cs="Arial" w:eastAsia="Arial" w:hAnsi="Arial"/>
                <w:sz w:val="19"/>
                <w:szCs w:val="19"/>
                <w:color w:val="auto"/>
                <w:w w:val="96"/>
                <w:vertAlign w:val="superscript"/>
              </w:rPr>
              <w:t>(6)</w:t>
            </w:r>
          </w:p>
        </w:tc>
        <w:tc>
          <w:tcPr>
            <w:tcW w:w="860" w:type="dxa"/>
            <w:vAlign w:val="bottom"/>
          </w:tcPr>
          <w:p>
            <w:pPr>
              <w:ind w:left="260"/>
              <w:spacing w:after="0" w:line="183" w:lineRule="exact"/>
              <w:rPr>
                <w:sz w:val="20"/>
                <w:szCs w:val="20"/>
                <w:color w:val="auto"/>
              </w:rPr>
            </w:pPr>
            <w:r>
              <w:rPr>
                <w:rFonts w:ascii="Arial" w:cs="Arial" w:eastAsia="Arial" w:hAnsi="Arial"/>
                <w:sz w:val="16"/>
                <w:szCs w:val="16"/>
                <w:color w:val="auto"/>
              </w:rPr>
              <w:t>​374,923</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300" w:type="dxa"/>
            <w:vAlign w:val="bottom"/>
          </w:tcPr>
          <w:p>
            <w:pPr>
              <w:ind w:left="16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60"/>
              <w:spacing w:after="0" w:line="183" w:lineRule="exact"/>
              <w:rPr>
                <w:sz w:val="20"/>
                <w:szCs w:val="20"/>
                <w:color w:val="auto"/>
              </w:rPr>
            </w:pPr>
            <w:r>
              <w:rPr>
                <w:rFonts w:ascii="Arial" w:cs="Arial" w:eastAsia="Arial" w:hAnsi="Arial"/>
                <w:sz w:val="16"/>
                <w:szCs w:val="16"/>
                <w:color w:val="auto"/>
                <w:w w:val="96"/>
              </w:rPr>
              <w:t>​5,390,285</w:t>
            </w:r>
            <w:r>
              <w:rPr>
                <w:rFonts w:ascii="Arial" w:cs="Arial" w:eastAsia="Arial" w:hAnsi="Arial"/>
                <w:sz w:val="19"/>
                <w:szCs w:val="19"/>
                <w:color w:val="auto"/>
                <w:w w:val="96"/>
                <w:vertAlign w:val="superscript"/>
              </w:rPr>
              <w:t>(7)</w:t>
            </w:r>
          </w:p>
        </w:tc>
        <w:tc>
          <w:tcPr>
            <w:tcW w:w="980" w:type="dxa"/>
            <w:vAlign w:val="bottom"/>
            <w:gridSpan w:val="2"/>
          </w:tcPr>
          <w:p>
            <w:pPr>
              <w:ind w:left="260"/>
              <w:spacing w:after="0" w:line="183" w:lineRule="exact"/>
              <w:rPr>
                <w:sz w:val="20"/>
                <w:szCs w:val="20"/>
                <w:color w:val="auto"/>
              </w:rPr>
            </w:pPr>
            <w:r>
              <w:rPr>
                <w:rFonts w:ascii="Arial" w:cs="Arial" w:eastAsia="Arial" w:hAnsi="Arial"/>
                <w:sz w:val="16"/>
                <w:szCs w:val="16"/>
                <w:color w:val="auto"/>
                <w:w w:val="98"/>
              </w:rPr>
              <w:t>​5,783,257</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200" w:type="dxa"/>
            <w:vAlign w:val="bottom"/>
            <w:tcBorders>
              <w:bottom w:val="single" w:sz="8" w:color="auto"/>
            </w:tcBorders>
            <w:vMerge w:val="continue"/>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 ​​</w:t>
            </w:r>
          </w:p>
        </w:tc>
        <w:tc>
          <w:tcPr>
            <w:tcW w:w="20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ind w:left="16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ind w:left="140"/>
              <w:spacing w:after="0" w:line="68" w:lineRule="exact"/>
              <w:rPr>
                <w:sz w:val="20"/>
                <w:szCs w:val="20"/>
                <w:color w:val="auto"/>
              </w:rPr>
            </w:pPr>
            <w:r>
              <w:rPr>
                <w:rFonts w:ascii="Arial" w:cs="Arial" w:eastAsia="Arial" w:hAnsi="Arial"/>
                <w:sz w:val="7"/>
                <w:szCs w:val="7"/>
                <w:color w:val="auto"/>
              </w:rPr>
              <w:t>​</w:t>
            </w:r>
          </w:p>
        </w:tc>
        <w:tc>
          <w:tcPr>
            <w:tcW w:w="8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jc w:val="center"/>
              <w:spacing w:after="0" w:line="68" w:lineRule="exact"/>
              <w:rPr>
                <w:sz w:val="20"/>
                <w:szCs w:val="20"/>
                <w:color w:val="auto"/>
              </w:rPr>
            </w:pPr>
            <w:r>
              <w:rPr>
                <w:rFonts w:ascii="Arial" w:cs="Arial" w:eastAsia="Arial" w:hAnsi="Arial"/>
                <w:sz w:val="7"/>
                <w:szCs w:val="7"/>
                <w:color w:val="auto"/>
              </w:rPr>
              <w:t>​​ ​​</w:t>
            </w: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Sophia Langlois</w:t>
            </w:r>
          </w:p>
        </w:tc>
        <w:tc>
          <w:tcPr>
            <w:tcW w:w="1220" w:type="dxa"/>
            <w:vAlign w:val="bottom"/>
            <w:tcBorders>
              <w:bottom w:val="single" w:sz="8" w:color="auto"/>
            </w:tcBorders>
            <w:shd w:val="clear" w:color="auto" w:fill="E5E5E5"/>
          </w:tcPr>
          <w:p>
            <w:pPr>
              <w:ind w:left="10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6"/>
                <w:szCs w:val="16"/>
                <w:color w:val="auto"/>
              </w:rPr>
              <w:t>61,044</w:t>
            </w:r>
          </w:p>
        </w:tc>
        <w:tc>
          <w:tcPr>
            <w:tcW w:w="106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​374,923</w:t>
            </w:r>
            <w:r>
              <w:rPr>
                <w:rFonts w:ascii="Arial" w:cs="Arial" w:eastAsia="Arial" w:hAnsi="Arial"/>
                <w:sz w:val="28"/>
                <w:szCs w:val="28"/>
                <w:color w:val="auto"/>
                <w:vertAlign w:val="subscript"/>
              </w:rPr>
              <w:t>​​ ​</w:t>
            </w:r>
          </w:p>
        </w:tc>
        <w:tc>
          <w:tcPr>
            <w:tcW w:w="300" w:type="dxa"/>
            <w:vAlign w:val="bottom"/>
            <w:tcBorders>
              <w:bottom w:val="single" w:sz="8" w:color="auto"/>
            </w:tcBorders>
            <w:shd w:val="clear" w:color="auto" w:fill="E5E5E5"/>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2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7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435,967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Jonathan Zinman</w:t>
            </w: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170,275</w:t>
            </w:r>
          </w:p>
        </w:tc>
        <w:tc>
          <w:tcPr>
            <w:tcW w:w="106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​374,923</w:t>
            </w:r>
            <w:r>
              <w:rPr>
                <w:rFonts w:ascii="Arial" w:cs="Arial" w:eastAsia="Arial" w:hAnsi="Arial"/>
                <w:sz w:val="28"/>
                <w:szCs w:val="28"/>
                <w:color w:val="auto"/>
                <w:vertAlign w:val="subscript"/>
              </w:rPr>
              <w:t>​​ ​</w:t>
            </w:r>
          </w:p>
        </w:tc>
        <w:tc>
          <w:tcPr>
            <w:tcW w:w="1020" w:type="dxa"/>
            <w:vAlign w:val="bottom"/>
            <w:tcBorders>
              <w:bottom w:val="single" w:sz="8" w:color="auto"/>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​4,338,462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​4,883,660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auto"/>
            </w:tcBorders>
            <w:gridSpan w:val="2"/>
            <w:shd w:val="clear" w:color="auto" w:fill="E5E5E5"/>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Former Directors</w:t>
            </w:r>
            <w:r>
              <w:rPr>
                <w:rFonts w:ascii="Arial" w:cs="Arial" w:eastAsia="Arial" w:hAnsi="Arial"/>
                <w:sz w:val="17"/>
                <w:szCs w:val="17"/>
                <w:b w:val="1"/>
                <w:bCs w:val="1"/>
                <w:color w:val="auto"/>
                <w:vertAlign w:val="superscript"/>
              </w:rPr>
              <w:t>(2)</w:t>
            </w:r>
          </w:p>
        </w:tc>
        <w:tc>
          <w:tcPr>
            <w:tcW w:w="1220" w:type="dxa"/>
            <w:vAlign w:val="bottom"/>
            <w:tcBorders>
              <w:bottom w:val="single" w:sz="8" w:color="auto"/>
            </w:tcBorders>
            <w:shd w:val="clear" w:color="auto" w:fill="E5E5E5"/>
          </w:tcPr>
          <w:p>
            <w:pPr>
              <w:ind w:left="1060"/>
              <w:spacing w:after="0"/>
              <w:rPr>
                <w:sz w:val="20"/>
                <w:szCs w:val="20"/>
                <w:color w:val="auto"/>
              </w:rPr>
            </w:pPr>
            <w:r>
              <w:rPr>
                <w:rFonts w:ascii="Arial" w:cs="Arial" w:eastAsia="Arial" w:hAnsi="Arial"/>
                <w:sz w:val="16"/>
                <w:szCs w:val="16"/>
                <w:b w:val="1"/>
                <w:bCs w:val="1"/>
                <w:i w:val="1"/>
                <w:iCs w:val="1"/>
                <w:color w:val="auto"/>
              </w:rPr>
              <w:t>​ ​</w:t>
            </w:r>
          </w:p>
        </w:tc>
        <w:tc>
          <w:tcPr>
            <w:tcW w:w="3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b w:val="1"/>
                <w:bCs w:val="1"/>
                <w:i w:val="1"/>
                <w:iCs w:val="1"/>
                <w:color w:val="auto"/>
              </w:rPr>
              <w:t>​</w:t>
            </w:r>
          </w:p>
        </w:tc>
        <w:tc>
          <w:tcPr>
            <w:tcW w:w="74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6"/>
                <w:szCs w:val="16"/>
                <w:b w:val="1"/>
                <w:bCs w:val="1"/>
                <w:i w:val="1"/>
                <w:iCs w:val="1"/>
                <w:color w:val="auto"/>
              </w:rPr>
              <w:t>​</w:t>
            </w:r>
          </w:p>
        </w:tc>
        <w:tc>
          <w:tcPr>
            <w:tcW w:w="8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b w:val="1"/>
                <w:bCs w:val="1"/>
                <w:i w:val="1"/>
                <w:iCs w:val="1"/>
                <w:color w:val="auto"/>
              </w:rPr>
              <w:t>​​ ​​</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72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6"/>
                <w:szCs w:val="16"/>
                <w:b w:val="1"/>
                <w:bCs w:val="1"/>
                <w:i w:val="1"/>
                <w:iCs w:val="1"/>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2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6"/>
                <w:szCs w:val="16"/>
                <w:b w:val="1"/>
                <w:bCs w:val="1"/>
                <w:i w:val="1"/>
                <w:iCs w:val="1"/>
                <w:color w:val="auto"/>
              </w:rPr>
              <w:t>​</w:t>
            </w:r>
          </w:p>
        </w:tc>
        <w:tc>
          <w:tcPr>
            <w:tcW w:w="8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6"/>
                <w:szCs w:val="16"/>
                <w:b w:val="1"/>
                <w:bCs w:val="1"/>
                <w:i w:val="1"/>
                <w:iCs w:val="1"/>
                <w:color w:val="auto"/>
              </w:rPr>
              <w:t>​</w:t>
            </w:r>
          </w:p>
        </w:tc>
        <w:tc>
          <w:tcPr>
            <w:tcW w:w="3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i w:val="1"/>
                <w:iCs w:val="1"/>
                <w:color w:val="auto"/>
              </w:rPr>
              <w:t>​​ ​​</w:t>
            </w:r>
          </w:p>
        </w:tc>
        <w:tc>
          <w:tcPr>
            <w:tcW w:w="640" w:type="dxa"/>
            <w:vAlign w:val="bottom"/>
            <w:tcBorders>
              <w:bottom w:val="single" w:sz="8" w:color="auto"/>
            </w:tcBorders>
            <w:shd w:val="clear" w:color="auto" w:fill="E5E5E5"/>
          </w:tcPr>
          <w:p>
            <w:pPr>
              <w:spacing w:after="0"/>
              <w:rPr>
                <w:sz w:val="21"/>
                <w:szCs w:val="21"/>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Abbas Hussain</w:t>
            </w: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112,747</w:t>
            </w:r>
          </w:p>
        </w:tc>
        <w:tc>
          <w:tcPr>
            <w:tcW w:w="106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 58,051</w:t>
            </w:r>
            <w:r>
              <w:rPr>
                <w:rFonts w:ascii="Arial" w:cs="Arial" w:eastAsia="Arial" w:hAnsi="Arial"/>
                <w:sz w:val="15"/>
                <w:szCs w:val="15"/>
                <w:color w:val="auto"/>
              </w:rPr>
              <w:t>​​ ​</w:t>
            </w:r>
          </w:p>
        </w:tc>
        <w:tc>
          <w:tcPr>
            <w:tcW w:w="1020" w:type="dxa"/>
            <w:vAlign w:val="bottom"/>
            <w:tcBorders>
              <w:bottom w:val="single" w:sz="8" w:color="auto"/>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​3,253,846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​3,424,644</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David Stetson</w:t>
            </w:r>
          </w:p>
        </w:tc>
        <w:tc>
          <w:tcPr>
            <w:tcW w:w="1220" w:type="dxa"/>
            <w:vAlign w:val="bottom"/>
            <w:tcBorders>
              <w:bottom w:val="single" w:sz="8" w:color="auto"/>
            </w:tcBorders>
            <w:shd w:val="clear" w:color="auto" w:fill="E5E5E5"/>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112,747</w:t>
            </w:r>
          </w:p>
        </w:tc>
        <w:tc>
          <w:tcPr>
            <w:tcW w:w="106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 58,051</w:t>
            </w:r>
            <w:r>
              <w:rPr>
                <w:rFonts w:ascii="Arial" w:cs="Arial" w:eastAsia="Arial" w:hAnsi="Arial"/>
                <w:sz w:val="15"/>
                <w:szCs w:val="15"/>
                <w:color w:val="auto"/>
              </w:rPr>
              <w:t>​​ ​</w:t>
            </w:r>
          </w:p>
        </w:tc>
        <w:tc>
          <w:tcPr>
            <w:tcW w:w="1020" w:type="dxa"/>
            <w:vAlign w:val="bottom"/>
            <w:tcBorders>
              <w:bottom w:val="single" w:sz="8" w:color="auto"/>
            </w:tcBorders>
            <w:gridSpan w:val="2"/>
            <w:shd w:val="clear" w:color="auto" w:fill="E5E5E5"/>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​3,253,846</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​3,424,644</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36"/>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Wesley P. Wheeler</w:t>
            </w: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106,813</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 58,051​​ ​</w:t>
            </w: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​3,253,846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 ​​3,418,710​​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40" w:hanging="368"/>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Each of Mr. Yoskowitz, Ms. Donato, Mr. Efron, Mr. Hirsch and Ms. Langlois was appointed as a director of the Company effective July 31, 2025.</w:t>
      </w:r>
    </w:p>
    <w:p>
      <w:pPr>
        <w:spacing w:after="0" w:line="66" w:lineRule="exact"/>
        <w:rPr>
          <w:rFonts w:ascii="Arial" w:cs="Arial" w:eastAsia="Arial" w:hAnsi="Arial"/>
          <w:sz w:val="13"/>
          <w:szCs w:val="13"/>
          <w:color w:val="auto"/>
        </w:rPr>
      </w:pPr>
    </w:p>
    <w:p>
      <w:pPr>
        <w:ind w:left="1040" w:hanging="368"/>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Each of Mr. Hussain, Mr. Stetson and Mr. Wheeler resigned as a director of the Company effective July 31, 2025.</w:t>
      </w:r>
    </w:p>
    <w:p>
      <w:pPr>
        <w:sectPr>
          <w:pgSz w:w="11900" w:h="16838" w:orient="portrait"/>
          <w:cols w:equalWidth="0" w:num="1">
            <w:col w:w="10100"/>
          </w:cols>
          <w:pgMar w:left="580" w:top="97" w:right="1219" w:bottom="1440" w:gutter="0" w:footer="0" w:header="0"/>
        </w:sectPr>
      </w:pPr>
    </w:p>
    <w:p>
      <w:pPr>
        <w:spacing w:after="0" w:line="207"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19</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Compensation of Non-Employee Directors</w:t>
      </w:r>
    </w:p>
    <w:p>
      <w:pPr>
        <w:spacing w:after="0" w:line="200" w:lineRule="exact"/>
        <w:rPr>
          <w:sz w:val="20"/>
          <w:szCs w:val="20"/>
          <w:color w:val="auto"/>
        </w:rPr>
      </w:pPr>
    </w:p>
    <w:p>
      <w:pPr>
        <w:spacing w:after="0" w:line="218" w:lineRule="exact"/>
        <w:rPr>
          <w:sz w:val="20"/>
          <w:szCs w:val="20"/>
          <w:color w:val="auto"/>
        </w:rPr>
      </w:pPr>
    </w:p>
    <w:p>
      <w:pPr>
        <w:ind w:left="1040" w:right="180" w:hanging="368"/>
        <w:spacing w:after="0" w:line="259" w:lineRule="auto"/>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 connection with the Business Combination, the Board changed its committee structure (see the section entitled “Board of Directors and Board Committees — Board Committees” for details on the changes to committee membership) and implemented new cash retainer amounts for directors and for the Chair of the Board. As a result, the cash compensation for each director reflects the aggregate amount earned for Board and committee assignments prior to and following the Business Combination under the applicable compensation program.</w:t>
      </w:r>
    </w:p>
    <w:p>
      <w:pPr>
        <w:spacing w:after="0" w:line="29" w:lineRule="exact"/>
        <w:rPr>
          <w:rFonts w:ascii="Arial" w:cs="Arial" w:eastAsia="Arial" w:hAnsi="Arial"/>
          <w:sz w:val="13"/>
          <w:szCs w:val="13"/>
          <w:color w:val="auto"/>
        </w:rPr>
      </w:pPr>
    </w:p>
    <w:p>
      <w:pPr>
        <w:ind w:left="1040" w:right="40" w:hanging="368"/>
        <w:spacing w:after="0" w:line="255" w:lineRule="auto"/>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With respect to our current non-employee directors, the amounts reported represent the aggregate grant date fair value of Launch Awards as computed in accordance with Accounting Standards Codification 718 (“ASC 718”). With respect to our former non-employee directors, the amounts were computed in accordance with ASC 718 and represent the incremental fair value of an accounting modification made in 2025 to 2024 Director RSUs. As previously disclosed, the 2024 Director RSUs were amended to provide that in the event of a director’s termination of service by us without Cause (as defined in the 2024 Plan), the director’s unvested 2024 Director RSUs will vest in full effective as of the director’s execution of a release of claims in the Company’s customary form.</w:t>
      </w:r>
    </w:p>
    <w:p>
      <w:pPr>
        <w:spacing w:after="0" w:line="45" w:lineRule="exact"/>
        <w:rPr>
          <w:rFonts w:ascii="Arial" w:cs="Arial" w:eastAsia="Arial" w:hAnsi="Arial"/>
          <w:sz w:val="13"/>
          <w:szCs w:val="13"/>
          <w:color w:val="auto"/>
        </w:rPr>
      </w:pPr>
    </w:p>
    <w:p>
      <w:pPr>
        <w:ind w:left="1040" w:right="40" w:hanging="368"/>
        <w:spacing w:after="0" w:line="259" w:lineRule="auto"/>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reported represent the portion of the cash awards earned pursuant to our Transaction Incentive Plan in fiscal 2025 resulting from the second installment of the cash award for the Therakos Divestiture and the cash award for the Business Combination. See the section entitled “Compensation of Non-Employee Directors — Pre-Business Combination — Transaction Incentive Plan” for additional information.</w:t>
      </w:r>
    </w:p>
    <w:p>
      <w:pPr>
        <w:spacing w:after="0" w:line="42" w:lineRule="exact"/>
        <w:rPr>
          <w:rFonts w:ascii="Arial" w:cs="Arial" w:eastAsia="Arial" w:hAnsi="Arial"/>
          <w:sz w:val="13"/>
          <w:szCs w:val="13"/>
          <w:color w:val="auto"/>
        </w:rPr>
      </w:pPr>
    </w:p>
    <w:p>
      <w:pPr>
        <w:ind w:left="1040" w:hanging="368"/>
        <w:spacing w:after="0"/>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Mr. Hirsch’s did not receive any cash retainer during the Transition Period (as defined below).</w:t>
      </w:r>
    </w:p>
    <w:p>
      <w:pPr>
        <w:spacing w:after="0" w:line="80" w:lineRule="exact"/>
        <w:rPr>
          <w:rFonts w:ascii="Arial" w:cs="Arial" w:eastAsia="Arial" w:hAnsi="Arial"/>
          <w:sz w:val="13"/>
          <w:szCs w:val="13"/>
          <w:color w:val="auto"/>
        </w:rPr>
      </w:pPr>
    </w:p>
    <w:p>
      <w:pPr>
        <w:ind w:left="1040" w:right="100" w:hanging="368"/>
        <w:spacing w:after="0" w:line="248" w:lineRule="auto"/>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Pursuant to the terms of Mr. Hirsch’s Noncompetition and Consulting Agreement (the “Consulting Agreement”), dated as of July 29, 2025, Mr. Hirsch was employed as a senior advisor to the Company from July 31, 2025, through October 14, 2025 (the “Transition Period”). During the Transition Period,</w:t>
      </w:r>
    </w:p>
    <w:p>
      <w:pPr>
        <w:ind w:left="1040" w:right="40"/>
        <w:spacing w:after="0" w:line="247" w:lineRule="auto"/>
        <w:rPr>
          <w:rFonts w:ascii="Arial" w:cs="Arial" w:eastAsia="Arial" w:hAnsi="Arial"/>
          <w:sz w:val="13"/>
          <w:szCs w:val="13"/>
          <w:color w:val="auto"/>
        </w:rPr>
      </w:pPr>
      <w:r>
        <w:rPr>
          <w:rFonts w:ascii="Arial" w:cs="Arial" w:eastAsia="Arial" w:hAnsi="Arial"/>
          <w:sz w:val="13"/>
          <w:szCs w:val="13"/>
          <w:color w:val="auto"/>
        </w:rPr>
        <w:t>Mr. Hirsch received the same compensation and benefits he had received with Endo, which included a monthly base salary of $750,000. The total amount of his base salary during the Transition Period was $2,076,923. The Consulting Agreement provides that the Company will engage Mr. Hirsch as a consultant to provide transitional services for a period of six months following the Transition Period and that he will be subject to certain non-competition obligations for a period of 12 months following the Transition Period. In connection with the consulting services and the non-competition obligations under the Consulting Agreement, Mr. Hirsch is entitled to cash consideration of up to $9,000,000 as well as payment of the full premium under COBRA for</w:t>
      </w:r>
    </w:p>
    <w:p>
      <w:pPr>
        <w:ind w:left="1040" w:right="40"/>
        <w:spacing w:after="0" w:line="249" w:lineRule="auto"/>
        <w:rPr>
          <w:rFonts w:ascii="Arial" w:cs="Arial" w:eastAsia="Arial" w:hAnsi="Arial"/>
          <w:sz w:val="13"/>
          <w:szCs w:val="13"/>
          <w:color w:val="auto"/>
        </w:rPr>
      </w:pPr>
      <w:r>
        <w:rPr>
          <w:rFonts w:ascii="Arial" w:cs="Arial" w:eastAsia="Arial" w:hAnsi="Arial"/>
          <w:sz w:val="13"/>
          <w:szCs w:val="13"/>
          <w:color w:val="auto"/>
        </w:rPr>
        <w:t>12 months for himself and his dependents. For fiscal 2025, the amount of cash consideration earned in connection with the consulting services and non-competition obligations pursuant to the Consulting Agreement was $2,557,378 and the total amount of COBRA premiums paid by the Company was $5,984. Pursuant to that certain Retention Bonus Letter dated as of April 3, 2025, by and between Mr. Hirsch and Endo (the “Retention Bonus Letter”), the Second Payment Amount (as defined in the Retention Bonus Letter) of $750,000 vested and was paid to Mr. Hirsch in accordance with the terms and conditions set forth in the Retention Bonus Letter, as if his employment with Endo had not terminated.</w:t>
      </w:r>
    </w:p>
    <w:p>
      <w:pPr>
        <w:spacing w:after="0" w:line="156" w:lineRule="exact"/>
        <w:rPr>
          <w:sz w:val="20"/>
          <w:szCs w:val="20"/>
          <w:color w:val="auto"/>
        </w:rPr>
      </w:pPr>
    </w:p>
    <w:p>
      <w:pPr>
        <w:ind w:left="680" w:right="120"/>
        <w:spacing w:after="0" w:line="269" w:lineRule="auto"/>
        <w:rPr>
          <w:sz w:val="20"/>
          <w:szCs w:val="20"/>
          <w:color w:val="auto"/>
        </w:rPr>
      </w:pPr>
      <w:r>
        <w:rPr>
          <w:rFonts w:ascii="Arial" w:cs="Arial" w:eastAsia="Arial" w:hAnsi="Arial"/>
          <w:sz w:val="16"/>
          <w:szCs w:val="16"/>
          <w:color w:val="auto"/>
        </w:rPr>
        <w:t>The number of RSUs, including 2024 Director PSUs that converted into time-vesting awards, held as of December 31, 2025 by each non-employee director is provided in the table below. Pursuant to the terms of the Employee Matters Agreement entered into by the Company and Par Health as of November 10, 2025, in connection with the Separation (the “Employee Matters Agreement”), each non-employee director who held RSUs immediately prior to the Separation received additional RSUs as a result of the adjustment to outstanding Keenova RSUs. These additional RSUs are reflected in the table below.</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 w:type="dxa"/>
            <w:vAlign w:val="bottom"/>
            <w:shd w:val="clear" w:color="auto" w:fill="B2EEDE"/>
          </w:tcPr>
          <w:p>
            <w:pPr>
              <w:spacing w:after="0"/>
              <w:rPr>
                <w:sz w:val="17"/>
                <w:szCs w:val="17"/>
                <w:color w:val="auto"/>
              </w:rPr>
            </w:pPr>
          </w:p>
        </w:tc>
        <w:tc>
          <w:tcPr>
            <w:tcW w:w="4900" w:type="dxa"/>
            <w:vAlign w:val="bottom"/>
            <w:shd w:val="clear" w:color="auto" w:fill="B2EEDE"/>
          </w:tcPr>
          <w:p>
            <w:pPr>
              <w:spacing w:after="0"/>
              <w:rPr>
                <w:sz w:val="17"/>
                <w:szCs w:val="17"/>
                <w:color w:val="auto"/>
              </w:rPr>
            </w:pPr>
          </w:p>
        </w:tc>
        <w:tc>
          <w:tcPr>
            <w:tcW w:w="4300" w:type="dxa"/>
            <w:vAlign w:val="bottom"/>
            <w:gridSpan w:val="2"/>
            <w:shd w:val="clear" w:color="auto" w:fill="B2EEDE"/>
          </w:tcPr>
          <w:p>
            <w:pPr>
              <w:jc w:val="right"/>
              <w:ind w:right="104"/>
              <w:spacing w:after="0"/>
              <w:rPr>
                <w:sz w:val="20"/>
                <w:szCs w:val="20"/>
                <w:color w:val="auto"/>
              </w:rPr>
            </w:pPr>
            <w:r>
              <w:rPr>
                <w:rFonts w:ascii="Arial" w:cs="Arial" w:eastAsia="Arial" w:hAnsi="Arial"/>
                <w:sz w:val="14"/>
                <w:szCs w:val="14"/>
                <w:b w:val="1"/>
                <w:bCs w:val="1"/>
                <w:color w:val="auto"/>
              </w:rPr>
              <w:t>RSUs</w:t>
            </w:r>
          </w:p>
        </w:tc>
      </w:tr>
      <w:tr>
        <w:trPr>
          <w:trHeight w:val="212"/>
        </w:trPr>
        <w:tc>
          <w:tcPr>
            <w:tcW w:w="5100" w:type="dxa"/>
            <w:vAlign w:val="bottom"/>
            <w:tcBorders>
              <w:bottom w:val="single" w:sz="8" w:color="auto"/>
            </w:tcBorders>
            <w:gridSpan w:val="2"/>
            <w:shd w:val="clear" w:color="auto" w:fill="B2EEDE"/>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Name</w:t>
            </w:r>
          </w:p>
        </w:tc>
        <w:tc>
          <w:tcPr>
            <w:tcW w:w="3800" w:type="dxa"/>
            <w:vAlign w:val="bottom"/>
            <w:tcBorders>
              <w:bottom w:val="single" w:sz="8" w:color="auto"/>
            </w:tcBorders>
            <w:shd w:val="clear" w:color="auto" w:fill="B2EEDE"/>
          </w:tcPr>
          <w:p>
            <w:pPr>
              <w:ind w:left="3480"/>
              <w:spacing w:after="0"/>
              <w:rPr>
                <w:sz w:val="20"/>
                <w:szCs w:val="20"/>
                <w:color w:val="auto"/>
              </w:rPr>
            </w:pPr>
            <w:r>
              <w:rPr>
                <w:rFonts w:ascii="Arial" w:cs="Arial" w:eastAsia="Arial" w:hAnsi="Arial"/>
                <w:sz w:val="14"/>
                <w:szCs w:val="14"/>
                <w:b w:val="1"/>
                <w:bCs w:val="1"/>
                <w:color w:val="auto"/>
              </w:rPr>
              <w:t>​ ​</w:t>
            </w:r>
          </w:p>
        </w:tc>
        <w:tc>
          <w:tcPr>
            <w:tcW w:w="500" w:type="dxa"/>
            <w:vAlign w:val="bottom"/>
            <w:tcBorders>
              <w:bottom w:val="single" w:sz="8" w:color="auto"/>
            </w:tcBorders>
            <w:shd w:val="clear" w:color="auto" w:fill="B2EEDE"/>
          </w:tcPr>
          <w:p>
            <w:pPr>
              <w:jc w:val="right"/>
              <w:spacing w:after="0" w:line="212"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r>
      <w:tr>
        <w:trPr>
          <w:trHeight w:val="250"/>
        </w:trPr>
        <w:tc>
          <w:tcPr>
            <w:tcW w:w="510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Current Directors</w:t>
            </w:r>
          </w:p>
        </w:tc>
        <w:tc>
          <w:tcPr>
            <w:tcW w:w="3800" w:type="dxa"/>
            <w:vAlign w:val="bottom"/>
            <w:tcBorders>
              <w:bottom w:val="single" w:sz="8" w:color="auto"/>
            </w:tcBorders>
          </w:tcPr>
          <w:p>
            <w:pPr>
              <w:ind w:left="3520"/>
              <w:spacing w:after="0"/>
              <w:rPr>
                <w:sz w:val="20"/>
                <w:szCs w:val="20"/>
                <w:color w:val="auto"/>
              </w:rPr>
            </w:pPr>
            <w:r>
              <w:rPr>
                <w:rFonts w:ascii="Arial" w:cs="Arial" w:eastAsia="Arial" w:hAnsi="Arial"/>
                <w:sz w:val="16"/>
                <w:szCs w:val="16"/>
                <w:b w:val="1"/>
                <w:bCs w:val="1"/>
                <w:i w:val="1"/>
                <w:iCs w:val="1"/>
                <w:color w:val="auto"/>
              </w:rPr>
              <w:t>​ ​​</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Marc Yoskowitz</w:t>
            </w:r>
          </w:p>
        </w:tc>
        <w:tc>
          <w:tcPr>
            <w:tcW w:w="430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6,509</w:t>
            </w:r>
            <w:r>
              <w:rPr>
                <w:rFonts w:ascii="Arial" w:cs="Arial" w:eastAsia="Arial" w:hAnsi="Arial"/>
                <w:sz w:val="28"/>
                <w:szCs w:val="28"/>
                <w:color w:val="auto"/>
                <w:vertAlign w:val="subscript"/>
              </w:rPr>
              <w:t>​​</w:t>
            </w: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Paul M. Bisaro</w:t>
            </w:r>
          </w:p>
        </w:tc>
        <w:tc>
          <w:tcPr>
            <w:tcW w:w="430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​48,721</w:t>
            </w:r>
            <w:r>
              <w:rPr>
                <w:rFonts w:ascii="Arial" w:cs="Arial" w:eastAsia="Arial" w:hAnsi="Arial"/>
                <w:sz w:val="28"/>
                <w:szCs w:val="28"/>
                <w:color w:val="auto"/>
                <w:vertAlign w:val="subscript"/>
              </w:rPr>
              <w:t>​​</w:t>
            </w: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Leslie Donato</w:t>
            </w:r>
          </w:p>
        </w:tc>
        <w:tc>
          <w:tcPr>
            <w:tcW w:w="430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4,882</w:t>
            </w:r>
            <w:r>
              <w:rPr>
                <w:rFonts w:ascii="Arial" w:cs="Arial" w:eastAsia="Arial" w:hAnsi="Arial"/>
                <w:sz w:val="28"/>
                <w:szCs w:val="28"/>
                <w:color w:val="auto"/>
                <w:vertAlign w:val="subscript"/>
              </w:rPr>
              <w:t>​​</w:t>
            </w: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Katina Dorton</w:t>
            </w:r>
          </w:p>
        </w:tc>
        <w:tc>
          <w:tcPr>
            <w:tcW w:w="430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​31,186</w:t>
            </w:r>
            <w:r>
              <w:rPr>
                <w:rFonts w:ascii="Arial" w:cs="Arial" w:eastAsia="Arial" w:hAnsi="Arial"/>
                <w:sz w:val="28"/>
                <w:szCs w:val="28"/>
                <w:color w:val="auto"/>
                <w:vertAlign w:val="subscript"/>
              </w:rPr>
              <w:t>​​</w:t>
            </w: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Paul Efron</w:t>
            </w:r>
          </w:p>
        </w:tc>
        <w:tc>
          <w:tcPr>
            <w:tcW w:w="430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6,510</w:t>
            </w:r>
            <w:r>
              <w:rPr>
                <w:rFonts w:ascii="Arial" w:cs="Arial" w:eastAsia="Arial" w:hAnsi="Arial"/>
                <w:sz w:val="28"/>
                <w:szCs w:val="28"/>
                <w:color w:val="auto"/>
                <w:vertAlign w:val="subscript"/>
              </w:rPr>
              <w:t>​​</w:t>
            </w: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Scott Hirsch</w:t>
            </w:r>
          </w:p>
        </w:tc>
        <w:tc>
          <w:tcPr>
            <w:tcW w:w="430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4,882</w:t>
            </w:r>
            <w:r>
              <w:rPr>
                <w:rFonts w:ascii="Arial" w:cs="Arial" w:eastAsia="Arial" w:hAnsi="Arial"/>
                <w:sz w:val="28"/>
                <w:szCs w:val="28"/>
                <w:color w:val="auto"/>
                <w:vertAlign w:val="subscript"/>
              </w:rPr>
              <w:t>​​</w:t>
            </w: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Sophia Langlois</w:t>
            </w:r>
          </w:p>
        </w:tc>
        <w:tc>
          <w:tcPr>
            <w:tcW w:w="430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4,882</w:t>
            </w:r>
            <w:r>
              <w:rPr>
                <w:rFonts w:ascii="Arial" w:cs="Arial" w:eastAsia="Arial" w:hAnsi="Arial"/>
                <w:sz w:val="28"/>
                <w:szCs w:val="28"/>
                <w:color w:val="auto"/>
                <w:vertAlign w:val="subscript"/>
              </w:rPr>
              <w:t>​​</w:t>
            </w: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Jonathan Zinman</w:t>
            </w:r>
          </w:p>
        </w:tc>
        <w:tc>
          <w:tcPr>
            <w:tcW w:w="430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​39,954</w:t>
            </w:r>
            <w:r>
              <w:rPr>
                <w:rFonts w:ascii="Arial" w:cs="Arial" w:eastAsia="Arial" w:hAnsi="Arial"/>
                <w:sz w:val="28"/>
                <w:szCs w:val="28"/>
                <w:color w:val="auto"/>
                <w:vertAlign w:val="subscript"/>
              </w:rPr>
              <w:t>​​</w:t>
            </w:r>
          </w:p>
        </w:tc>
      </w:tr>
      <w:tr>
        <w:trPr>
          <w:trHeight w:val="250"/>
        </w:trPr>
        <w:tc>
          <w:tcPr>
            <w:tcW w:w="5100" w:type="dxa"/>
            <w:vAlign w:val="bottom"/>
            <w:tcBorders>
              <w:bottom w:val="single" w:sz="8" w:color="auto"/>
            </w:tcBorders>
            <w:gridSpan w:val="2"/>
            <w:shd w:val="clear" w:color="auto" w:fill="E5E5E5"/>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Former Directors</w:t>
            </w:r>
            <w:r>
              <w:rPr>
                <w:rFonts w:ascii="Arial" w:cs="Arial" w:eastAsia="Arial" w:hAnsi="Arial"/>
                <w:sz w:val="17"/>
                <w:szCs w:val="17"/>
                <w:b w:val="1"/>
                <w:bCs w:val="1"/>
                <w:i w:val="1"/>
                <w:iCs w:val="1"/>
                <w:color w:val="auto"/>
                <w:vertAlign w:val="superscript"/>
              </w:rPr>
              <w:t>(a)</w:t>
            </w:r>
          </w:p>
        </w:tc>
        <w:tc>
          <w:tcPr>
            <w:tcW w:w="3800" w:type="dxa"/>
            <w:vAlign w:val="bottom"/>
            <w:tcBorders>
              <w:bottom w:val="single" w:sz="8" w:color="auto"/>
            </w:tcBorders>
            <w:shd w:val="clear" w:color="auto" w:fill="E5E5E5"/>
          </w:tcPr>
          <w:p>
            <w:pPr>
              <w:ind w:left="3520"/>
              <w:spacing w:after="0"/>
              <w:rPr>
                <w:sz w:val="20"/>
                <w:szCs w:val="20"/>
                <w:color w:val="auto"/>
              </w:rPr>
            </w:pPr>
            <w:r>
              <w:rPr>
                <w:rFonts w:ascii="Arial" w:cs="Arial" w:eastAsia="Arial" w:hAnsi="Arial"/>
                <w:sz w:val="16"/>
                <w:szCs w:val="16"/>
                <w:b w:val="1"/>
                <w:bCs w:val="1"/>
                <w:i w:val="1"/>
                <w:iCs w:val="1"/>
                <w:color w:val="auto"/>
              </w:rPr>
              <w:t>​ ​​</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Abbas Hussain</w:t>
            </w:r>
          </w:p>
        </w:tc>
        <w:tc>
          <w:tcPr>
            <w:tcW w:w="3800" w:type="dxa"/>
            <w:vAlign w:val="bottom"/>
            <w:tcBorders>
              <w:bottom w:val="single" w:sz="8" w:color="auto"/>
            </w:tcBorders>
          </w:tcPr>
          <w:p>
            <w:pPr>
              <w:ind w:left="352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David Stetson</w:t>
            </w:r>
          </w:p>
        </w:tc>
        <w:tc>
          <w:tcPr>
            <w:tcW w:w="3800" w:type="dxa"/>
            <w:vAlign w:val="bottom"/>
            <w:tcBorders>
              <w:bottom w:val="single" w:sz="8" w:color="auto"/>
            </w:tcBorders>
            <w:shd w:val="clear" w:color="auto" w:fill="E5E5E5"/>
          </w:tcPr>
          <w:p>
            <w:pPr>
              <w:ind w:left="352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0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r>
      <w:tr>
        <w:trPr>
          <w:trHeight w:val="237"/>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Wesley P. Wheeler</w:t>
            </w:r>
          </w:p>
        </w:tc>
        <w:tc>
          <w:tcPr>
            <w:tcW w:w="3800" w:type="dxa"/>
            <w:vAlign w:val="bottom"/>
            <w:tcBorders>
              <w:bottom w:val="single" w:sz="8" w:color="auto"/>
            </w:tcBorders>
          </w:tcPr>
          <w:p>
            <w:pPr>
              <w:ind w:left="3520"/>
              <w:spacing w:after="0"/>
              <w:rPr>
                <w:sz w:val="20"/>
                <w:szCs w:val="20"/>
                <w:color w:val="auto"/>
              </w:rPr>
            </w:pPr>
            <w:r>
              <w:rPr>
                <w:rFonts w:ascii="Arial" w:cs="Arial" w:eastAsia="Arial" w:hAnsi="Arial"/>
                <w:sz w:val="16"/>
                <w:szCs w:val="16"/>
                <w:color w:val="auto"/>
              </w:rPr>
              <w:t>​ ​​</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149" w:lineRule="exact"/>
        <w:rPr>
          <w:sz w:val="20"/>
          <w:szCs w:val="20"/>
          <w:color w:val="auto"/>
        </w:rPr>
      </w:pPr>
    </w:p>
    <w:p>
      <w:pPr>
        <w:ind w:left="1040" w:right="60" w:hanging="368"/>
        <w:spacing w:after="0" w:line="281" w:lineRule="auto"/>
        <w:tabs>
          <w:tab w:leader="none" w:pos="10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outstanding unvested 2024 Director RSUs held by Messrs. Hussain, Stetson and Wheeler immediately prior to the Business Combination vested in full in connection with their departure from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​20 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7700"/>
        <w:spacing w:after="0"/>
        <w:rPr>
          <w:sz w:val="20"/>
          <w:szCs w:val="20"/>
          <w:color w:val="auto"/>
        </w:rPr>
      </w:pPr>
      <w:r>
        <w:rPr>
          <w:rFonts w:ascii="Arial" w:cs="Arial" w:eastAsia="Arial" w:hAnsi="Arial"/>
          <w:sz w:val="13"/>
          <w:szCs w:val="13"/>
          <w:color w:val="323232"/>
        </w:rPr>
        <w:t>Compensation Discussion and Analysis</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Compensation Discussion and Analysis</w:t>
      </w:r>
    </w:p>
    <w:p>
      <w:pPr>
        <w:spacing w:after="0" w:line="120" w:lineRule="exact"/>
        <w:rPr>
          <w:sz w:val="20"/>
          <w:szCs w:val="20"/>
          <w:color w:val="auto"/>
        </w:rPr>
      </w:pPr>
    </w:p>
    <w:p>
      <w:pPr>
        <w:ind w:left="680" w:right="180"/>
        <w:spacing w:after="0" w:line="275" w:lineRule="auto"/>
        <w:rPr>
          <w:sz w:val="20"/>
          <w:szCs w:val="20"/>
          <w:color w:val="auto"/>
        </w:rPr>
      </w:pPr>
      <w:r>
        <w:rPr>
          <w:rFonts w:ascii="Arial" w:cs="Arial" w:eastAsia="Arial" w:hAnsi="Arial"/>
          <w:sz w:val="16"/>
          <w:szCs w:val="16"/>
          <w:color w:val="auto"/>
        </w:rPr>
        <w:t>This Compensation Discussion and Analysis (“CD&amp;A”) describes our executive compensation highlights and objectives and the decisions of our Board and the HRCC regarding the fiscal 2025 compensation of our named executive officers (“NEOs”). Our NEOs for fiscal 2025 are:</w:t>
      </w:r>
    </w:p>
    <w:p>
      <w:pPr>
        <w:spacing w:after="0" w:line="56" w:lineRule="exact"/>
        <w:rPr>
          <w:sz w:val="20"/>
          <w:szCs w:val="20"/>
          <w:color w:val="auto"/>
        </w:rPr>
      </w:pPr>
    </w:p>
    <w:p>
      <w:pPr>
        <w:ind w:left="860" w:hanging="188"/>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Sigurdur O. Olafsson, </w:t>
      </w:r>
      <w:r>
        <w:rPr>
          <w:rFonts w:ascii="Arial" w:cs="Arial" w:eastAsia="Arial" w:hAnsi="Arial"/>
          <w:sz w:val="16"/>
          <w:szCs w:val="16"/>
          <w:i w:val="1"/>
          <w:iCs w:val="1"/>
          <w:color w:val="auto"/>
        </w:rPr>
        <w:t>President, Chief Executive Officer and Director</w:t>
      </w:r>
    </w:p>
    <w:p>
      <w:pPr>
        <w:spacing w:after="0" w:line="99" w:lineRule="exact"/>
        <w:rPr>
          <w:rFonts w:ascii="Arial" w:cs="Arial" w:eastAsia="Arial" w:hAnsi="Arial"/>
          <w:sz w:val="16"/>
          <w:szCs w:val="16"/>
          <w:color w:val="auto"/>
        </w:rPr>
      </w:pPr>
    </w:p>
    <w:p>
      <w:pPr>
        <w:ind w:left="860" w:hanging="188"/>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Christiana Stamoulis, </w:t>
      </w:r>
      <w:r>
        <w:rPr>
          <w:rFonts w:ascii="Arial" w:cs="Arial" w:eastAsia="Arial" w:hAnsi="Arial"/>
          <w:sz w:val="16"/>
          <w:szCs w:val="16"/>
          <w:i w:val="1"/>
          <w:iCs w:val="1"/>
          <w:color w:val="auto"/>
        </w:rPr>
        <w:t>President and Chief Financial Officer (appointed effective September 22, 2025)</w:t>
      </w:r>
    </w:p>
    <w:p>
      <w:pPr>
        <w:spacing w:after="0" w:line="99" w:lineRule="exact"/>
        <w:rPr>
          <w:rFonts w:ascii="Arial" w:cs="Arial" w:eastAsia="Arial" w:hAnsi="Arial"/>
          <w:sz w:val="16"/>
          <w:szCs w:val="16"/>
          <w:color w:val="auto"/>
        </w:rPr>
      </w:pPr>
    </w:p>
    <w:p>
      <w:pPr>
        <w:ind w:left="860" w:hanging="188"/>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Henriette Nielsen, </w:t>
      </w:r>
      <w:r>
        <w:rPr>
          <w:rFonts w:ascii="Arial" w:cs="Arial" w:eastAsia="Arial" w:hAnsi="Arial"/>
          <w:sz w:val="16"/>
          <w:szCs w:val="16"/>
          <w:i w:val="1"/>
          <w:iCs w:val="1"/>
          <w:color w:val="auto"/>
        </w:rPr>
        <w:t>Executive Vice President and Chief Transformation Officer</w:t>
      </w:r>
    </w:p>
    <w:p>
      <w:pPr>
        <w:spacing w:after="0" w:line="113" w:lineRule="exact"/>
        <w:rPr>
          <w:rFonts w:ascii="Arial" w:cs="Arial" w:eastAsia="Arial" w:hAnsi="Arial"/>
          <w:sz w:val="16"/>
          <w:szCs w:val="16"/>
          <w:color w:val="auto"/>
        </w:rPr>
      </w:pPr>
    </w:p>
    <w:p>
      <w:pPr>
        <w:ind w:left="860" w:hanging="188"/>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Lisa French, </w:t>
      </w:r>
      <w:r>
        <w:rPr>
          <w:rFonts w:ascii="Arial" w:cs="Arial" w:eastAsia="Arial" w:hAnsi="Arial"/>
          <w:sz w:val="16"/>
          <w:szCs w:val="16"/>
          <w:i w:val="1"/>
          <w:iCs w:val="1"/>
          <w:color w:val="auto"/>
        </w:rPr>
        <w:t>Executive Vice President and Chief Commercial Officer</w:t>
      </w:r>
    </w:p>
    <w:p>
      <w:pPr>
        <w:spacing w:after="0" w:line="99" w:lineRule="exact"/>
        <w:rPr>
          <w:rFonts w:ascii="Arial" w:cs="Arial" w:eastAsia="Arial" w:hAnsi="Arial"/>
          <w:sz w:val="16"/>
          <w:szCs w:val="16"/>
          <w:color w:val="auto"/>
        </w:rPr>
      </w:pPr>
    </w:p>
    <w:p>
      <w:pPr>
        <w:ind w:left="860" w:hanging="188"/>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Mark A. Tyndall, </w:t>
      </w:r>
      <w:r>
        <w:rPr>
          <w:rFonts w:ascii="Arial" w:cs="Arial" w:eastAsia="Arial" w:hAnsi="Arial"/>
          <w:sz w:val="16"/>
          <w:szCs w:val="16"/>
          <w:i w:val="1"/>
          <w:iCs w:val="1"/>
          <w:color w:val="auto"/>
        </w:rPr>
        <w:t>Executive Vice President, Chief Legal Officer, and Corporate Secretary</w:t>
      </w:r>
    </w:p>
    <w:p>
      <w:pPr>
        <w:spacing w:after="0" w:line="99" w:lineRule="exact"/>
        <w:rPr>
          <w:rFonts w:ascii="Arial" w:cs="Arial" w:eastAsia="Arial" w:hAnsi="Arial"/>
          <w:sz w:val="16"/>
          <w:szCs w:val="16"/>
          <w:color w:val="auto"/>
        </w:rPr>
      </w:pPr>
    </w:p>
    <w:p>
      <w:pPr>
        <w:ind w:left="860" w:hanging="188"/>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Bryan M. Reasons, </w:t>
      </w:r>
      <w:r>
        <w:rPr>
          <w:rFonts w:ascii="Arial" w:cs="Arial" w:eastAsia="Arial" w:hAnsi="Arial"/>
          <w:sz w:val="16"/>
          <w:szCs w:val="16"/>
          <w:i w:val="1"/>
          <w:iCs w:val="1"/>
          <w:color w:val="auto"/>
        </w:rPr>
        <w:t>Former Executive Vice President and Chief Financial Officer (served in this role until September 22, 2025)</w:t>
      </w:r>
    </w:p>
    <w:p>
      <w:pPr>
        <w:spacing w:after="0" w:line="194" w:lineRule="exact"/>
        <w:rPr>
          <w:sz w:val="20"/>
          <w:szCs w:val="20"/>
          <w:color w:val="auto"/>
        </w:rPr>
      </w:pPr>
    </w:p>
    <w:p>
      <w:pPr>
        <w:ind w:left="680" w:right="140"/>
        <w:spacing w:after="0" w:line="282" w:lineRule="auto"/>
        <w:rPr>
          <w:sz w:val="20"/>
          <w:szCs w:val="20"/>
          <w:color w:val="auto"/>
        </w:rPr>
      </w:pPr>
      <w:r>
        <w:rPr>
          <w:rFonts w:ascii="Arial" w:cs="Arial" w:eastAsia="Arial" w:hAnsi="Arial"/>
          <w:sz w:val="15"/>
          <w:szCs w:val="15"/>
          <w:color w:val="auto"/>
        </w:rPr>
        <w:t>Fiscal 2025 was a year of significant change for the Company, including our merger with Endo and the later separation of the Company’s generics and sterile businesses into an independent, private company named Par Health. Although 2025 compensation was largely established prior to the Business Combination, the Board and HRCC also made several important compensation decisions during the year to support continuity of leadership during this significant period of transformation and to establish the groundwork for our continued success. During fiscal 2025, we entered into new compensation arrangements with Sigurdur Olafsson for his continued service as President and CEO of the combined company, and we entered into compensation arrangements with Christiana Stamoulis in connection with her becoming President and CFO in September 2025. In fiscal 2025, following the Business Combination, the HRCC took additional steps to advance our executive compensation program in alignment with our strategic priorities as a combined company, including (i) engaging a new independent compensation consultant, (ii) adopting a realigned executive compensation philosophy for the Company and (iii) establishing a new peer group for executive compensation.</w:t>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Fiscal 2025 Company Performance</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 fiscal 2025, our management team led us to significant accomplishments, including the Business Combination and the Separation.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Key performance highlights for fiscal 2025 include:</w:t>
      </w:r>
    </w:p>
    <w:p>
      <w:pPr>
        <w:spacing w:after="0" w:line="87" w:lineRule="exact"/>
        <w:rPr>
          <w:sz w:val="20"/>
          <w:szCs w:val="20"/>
          <w:color w:val="auto"/>
        </w:rPr>
      </w:pPr>
    </w:p>
    <w:p>
      <w:pPr>
        <w:ind w:left="860" w:right="280" w:hanging="188"/>
        <w:spacing w:after="0" w:line="279" w:lineRule="auto"/>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Net sales from continuing operations of $1.93 billion and Adjusted EBITDA from continuing operations of $609 million, reflecting continued momentum across our core franchises, partially offset by the impact of merger-related compensation costs.</w:t>
      </w:r>
      <w:r>
        <w:rPr>
          <w:rFonts w:ascii="Arial" w:cs="Arial" w:eastAsia="Arial" w:hAnsi="Arial"/>
          <w:sz w:val="23"/>
          <w:szCs w:val="23"/>
          <w:color w:val="auto"/>
          <w:vertAlign w:val="superscript"/>
        </w:rPr>
        <w:t>1</w:t>
      </w:r>
    </w:p>
    <w:p>
      <w:pPr>
        <w:jc w:val="both"/>
        <w:ind w:left="860" w:right="720" w:hanging="188"/>
        <w:spacing w:after="0" w:line="278"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realized $13 million in pre-tax merger synergies in the fourth quarter of 2025, and we expect to realize pre-tax merger synergies of approximately $100 million in 2026 as we remain on track to achieve $150 million of annual pre-tax, run-rate synergies by the merger’s three-year anniversary.</w:t>
      </w:r>
    </w:p>
    <w:p>
      <w:pPr>
        <w:spacing w:after="0" w:line="9" w:lineRule="exact"/>
        <w:rPr>
          <w:rFonts w:ascii="Arial" w:cs="Arial" w:eastAsia="Arial" w:hAnsi="Arial"/>
          <w:sz w:val="16"/>
          <w:szCs w:val="16"/>
          <w:color w:val="auto"/>
        </w:rPr>
      </w:pPr>
    </w:p>
    <w:p>
      <w:pPr>
        <w:ind w:left="860" w:hanging="188"/>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Acthar</w:t>
      </w:r>
      <w:r>
        <w:rPr>
          <w:rFonts w:ascii="Arial" w:cs="Arial" w:eastAsia="Arial" w:hAnsi="Arial"/>
          <w:sz w:val="25"/>
          <w:szCs w:val="25"/>
          <w:color w:val="auto"/>
          <w:vertAlign w:val="superscript"/>
        </w:rPr>
        <w:t>®</w:t>
      </w:r>
      <w:r>
        <w:rPr>
          <w:rFonts w:ascii="Arial" w:cs="Arial" w:eastAsia="Arial" w:hAnsi="Arial"/>
          <w:sz w:val="16"/>
          <w:szCs w:val="16"/>
          <w:color w:val="auto"/>
        </w:rPr>
        <w:t xml:space="preserve"> Gel delivered its second consecutive year of double-digit growth with 39% full-year net sales growth.</w:t>
      </w:r>
    </w:p>
    <w:p>
      <w:pPr>
        <w:spacing w:after="0" w:line="49" w:lineRule="exact"/>
        <w:rPr>
          <w:rFonts w:ascii="Arial" w:cs="Arial" w:eastAsia="Arial" w:hAnsi="Arial"/>
          <w:sz w:val="16"/>
          <w:szCs w:val="16"/>
          <w:color w:val="auto"/>
        </w:rPr>
      </w:pPr>
    </w:p>
    <w:p>
      <w:pPr>
        <w:ind w:left="860" w:right="260" w:hanging="188"/>
        <w:spacing w:after="0" w:line="214"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XIAFLEX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net sales grew mid-single digits for full year, and INOmax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demonstrated resilience globally despite U.S. competitive pressures.</w:t>
      </w:r>
    </w:p>
    <w:p>
      <w:pPr>
        <w:spacing w:after="0" w:line="39" w:lineRule="exact"/>
        <w:rPr>
          <w:rFonts w:ascii="Arial" w:cs="Arial" w:eastAsia="Arial" w:hAnsi="Arial"/>
          <w:sz w:val="16"/>
          <w:szCs w:val="16"/>
          <w:color w:val="auto"/>
        </w:rPr>
      </w:pPr>
    </w:p>
    <w:p>
      <w:pPr>
        <w:ind w:left="860" w:right="280" w:hanging="188"/>
        <w:spacing w:after="0" w:line="244"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XIAFLEX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clinical trial progress in additional indications, with our program for hammer toe expected to progress into a Phase 3 study, which, subject to the outcome of discussions with the FDA, we expect to start in the fourth quarter of 2026. In addition, patient enrollment for a Phase 3 study for plantar fibromatosis was completed on March 5, 2026. Topline results are expected in the third quarter of 2026, with a regulatory submission targeted for the fourth quarter of 2026.</w:t>
      </w:r>
    </w:p>
    <w:p>
      <w:pPr>
        <w:spacing w:after="0" w:line="163" w:lineRule="exact"/>
        <w:rPr>
          <w:sz w:val="20"/>
          <w:szCs w:val="20"/>
          <w:color w:val="auto"/>
        </w:rPr>
      </w:pPr>
    </w:p>
    <w:p>
      <w:pPr>
        <w:ind w:left="680" w:right="720"/>
        <w:spacing w:after="0" w:line="304" w:lineRule="auto"/>
        <w:rPr>
          <w:sz w:val="20"/>
          <w:szCs w:val="20"/>
          <w:color w:val="auto"/>
        </w:rPr>
      </w:pPr>
      <w:r>
        <w:rPr>
          <w:rFonts w:ascii="Arial" w:cs="Arial" w:eastAsia="Arial" w:hAnsi="Arial"/>
          <w:sz w:val="16"/>
          <w:szCs w:val="16"/>
          <w:color w:val="auto"/>
        </w:rPr>
        <w:t>Please refer to the more comprehensive discussions contained in our Annual Report on Form 10-K for the fiscal year ended December 31, 2025, for additional information.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Executive Summary</w:t>
      </w:r>
    </w:p>
    <w:p>
      <w:pPr>
        <w:spacing w:after="0" w:line="112" w:lineRule="exact"/>
        <w:rPr>
          <w:sz w:val="20"/>
          <w:szCs w:val="20"/>
          <w:color w:val="auto"/>
        </w:rPr>
      </w:pPr>
    </w:p>
    <w:p>
      <w:pPr>
        <w:ind w:left="680" w:right="60"/>
        <w:spacing w:after="0" w:line="269" w:lineRule="auto"/>
        <w:rPr>
          <w:sz w:val="20"/>
          <w:szCs w:val="20"/>
          <w:color w:val="auto"/>
        </w:rPr>
      </w:pPr>
      <w:r>
        <w:rPr>
          <w:rFonts w:ascii="Arial" w:cs="Arial" w:eastAsia="Arial" w:hAnsi="Arial"/>
          <w:sz w:val="16"/>
          <w:szCs w:val="16"/>
          <w:color w:val="auto"/>
        </w:rPr>
        <w:t>We believe our executive compensation practices play a key role in driving our performance. These practices are designed to maximize shareholder value and reward performance when financial, operational and strategic performance goals that drive long-term value for our shareholders are achieved. We believe our compensation practices are designed to align the long-term interests of executive officers with those of our shareholders. By utilizing performance-based compensation as a significant portion of total compensation, actual realized compensation is expected to be higher when we overperform and lower when we underperform.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57150</wp:posOffset>
            </wp:positionV>
            <wp:extent cx="12344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9" w:lineRule="exact"/>
        <w:rPr>
          <w:sz w:val="20"/>
          <w:szCs w:val="20"/>
          <w:color w:val="auto"/>
        </w:rPr>
      </w:pPr>
    </w:p>
    <w:p>
      <w:pPr>
        <w:ind w:left="1040" w:right="180" w:hanging="368"/>
        <w:spacing w:after="0" w:line="270" w:lineRule="auto"/>
        <w:tabs>
          <w:tab w:leader="none" w:pos="10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financial results presented reflect the continuing operations of Keenova Therapeutics plc as if the Business Combination and the Separation had each occurred at the beginning of fiscal 2025. Please see Annex A to this proxy statement for a discussion of non-GAAP measures and reconciliation of GAAP and non-GAAP financial measures.</w:t>
      </w:r>
    </w:p>
    <w:p>
      <w:pPr>
        <w:spacing w:after="0" w:line="163"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21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Compensation Discussion and Analysis</w:t>
      </w:r>
    </w:p>
    <w:p>
      <w:pPr>
        <w:spacing w:after="0" w:line="332"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5980" w:type="dxa"/>
            <w:vAlign w:val="bottom"/>
            <w:vMerge w:val="restart"/>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WHAT WE DO</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20" w:type="dxa"/>
            <w:vAlign w:val="bottom"/>
            <w:gridSpan w:val="2"/>
            <w:vMerge w:val="restart"/>
          </w:tcPr>
          <w:p>
            <w:pPr>
              <w:spacing w:after="0"/>
              <w:rPr>
                <w:sz w:val="8"/>
                <w:szCs w:val="8"/>
                <w:color w:val="auto"/>
              </w:rPr>
            </w:pPr>
          </w:p>
        </w:tc>
        <w:tc>
          <w:tcPr>
            <w:tcW w:w="1240" w:type="dxa"/>
            <w:vAlign w:val="bottom"/>
            <w:vMerge w:val="restart"/>
          </w:tcPr>
          <w:p>
            <w:pPr>
              <w:spacing w:after="0"/>
              <w:rPr>
                <w:sz w:val="8"/>
                <w:szCs w:val="8"/>
                <w:color w:val="auto"/>
              </w:rPr>
            </w:pP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9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2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9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vMerge w:val="continue"/>
          </w:tcPr>
          <w:p>
            <w:pPr>
              <w:spacing w:after="0"/>
              <w:rPr>
                <w:sz w:val="16"/>
                <w:szCs w:val="16"/>
                <w:color w:val="auto"/>
              </w:rPr>
            </w:pPr>
          </w:p>
        </w:tc>
        <w:tc>
          <w:tcPr>
            <w:tcW w:w="1820" w:type="dxa"/>
            <w:vAlign w:val="bottom"/>
            <w:gridSpan w:val="2"/>
            <w:shd w:val="clear" w:color="auto" w:fill="000000"/>
          </w:tcPr>
          <w:p>
            <w:pPr>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WHAT WE DON’T DO</w:t>
            </w:r>
          </w:p>
        </w:tc>
        <w:tc>
          <w:tcPr>
            <w:tcW w:w="12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980" w:type="dxa"/>
            <w:vAlign w:val="bottom"/>
          </w:tcPr>
          <w:p>
            <w:pPr>
              <w:spacing w:after="0"/>
              <w:rPr>
                <w:sz w:val="20"/>
                <w:szCs w:val="20"/>
                <w:color w:val="auto"/>
              </w:rPr>
            </w:pPr>
            <w:r>
              <w:rPr>
                <w:rFonts w:ascii="Arial" w:cs="Arial" w:eastAsia="Arial" w:hAnsi="Arial"/>
                <w:sz w:val="16"/>
                <w:szCs w:val="16"/>
                <w:color w:val="auto"/>
              </w:rPr>
              <w:t>​   ​​</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6"/>
                <w:szCs w:val="16"/>
                <w:color w:val="auto"/>
              </w:rPr>
              <w:t>​</w:t>
            </w:r>
          </w:p>
        </w:tc>
        <w:tc>
          <w:tcPr>
            <w:tcW w:w="29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980" w:type="dxa"/>
            <w:vAlign w:val="bottom"/>
          </w:tcPr>
          <w:p>
            <w:pPr>
              <w:ind w:left="340"/>
              <w:spacing w:after="0"/>
              <w:rPr>
                <w:sz w:val="20"/>
                <w:szCs w:val="20"/>
                <w:color w:val="auto"/>
              </w:rPr>
            </w:pPr>
            <w:r>
              <w:rPr>
                <w:rFonts w:ascii="Arial" w:cs="Arial" w:eastAsia="Arial" w:hAnsi="Arial"/>
                <w:sz w:val="16"/>
                <w:szCs w:val="16"/>
                <w:color w:val="auto"/>
              </w:rPr>
              <w:t>Ensure a substantial portion of compensation is at risk, tied to performance and</w:t>
            </w:r>
          </w:p>
        </w:tc>
        <w:tc>
          <w:tcPr>
            <w:tcW w:w="1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auto"/>
              </w:rPr>
              <w:t>Provide excessive executive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340"/>
              <w:spacing w:after="0"/>
              <w:rPr>
                <w:sz w:val="20"/>
                <w:szCs w:val="20"/>
                <w:color w:val="auto"/>
              </w:rPr>
            </w:pPr>
            <w:r>
              <w:rPr>
                <w:rFonts w:ascii="Arial" w:cs="Arial" w:eastAsia="Arial" w:hAnsi="Arial"/>
                <w:sz w:val="16"/>
                <w:szCs w:val="16"/>
                <w:color w:val="auto"/>
              </w:rPr>
              <w:t>linked to shareholder value creation</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auto"/>
              </w:rPr>
              <w:t>perquisites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980" w:type="dxa"/>
            <w:vAlign w:val="bottom"/>
          </w:tcPr>
          <w:p>
            <w:pPr>
              <w:spacing w:after="0" w:line="298"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Balance short- and long-term incentives aligned with performance to incentivize</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4"/>
                <w:szCs w:val="24"/>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6"/>
                <w:szCs w:val="16"/>
                <w:color w:val="auto"/>
              </w:rPr>
              <w:t>​</w:t>
            </w:r>
          </w:p>
        </w:tc>
        <w:tc>
          <w:tcPr>
            <w:tcW w:w="2900" w:type="dxa"/>
            <w:vAlign w:val="bottom"/>
            <w:gridSpan w:val="2"/>
          </w:tcPr>
          <w:p>
            <w:pPr>
              <w:ind w:left="120"/>
              <w:spacing w:after="0" w:line="29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Reprice equity awards without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340"/>
              <w:spacing w:after="0"/>
              <w:rPr>
                <w:sz w:val="20"/>
                <w:szCs w:val="20"/>
                <w:color w:val="auto"/>
              </w:rPr>
            </w:pPr>
            <w:r>
              <w:rPr>
                <w:rFonts w:ascii="Arial" w:cs="Arial" w:eastAsia="Arial" w:hAnsi="Arial"/>
                <w:sz w:val="16"/>
                <w:szCs w:val="16"/>
                <w:color w:val="auto"/>
              </w:rPr>
              <w:t>achievement of short- and long-term goals</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auto"/>
              </w:rPr>
              <w:t>shareholder approval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980" w:type="dxa"/>
            <w:vAlign w:val="bottom"/>
          </w:tcPr>
          <w:p>
            <w:pPr>
              <w:spacing w:after="0" w:line="298"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Establish challenging threshold performance goals and maximum performance</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4"/>
                <w:szCs w:val="24"/>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6"/>
                <w:szCs w:val="16"/>
                <w:color w:val="auto"/>
              </w:rPr>
              <w:t>​</w:t>
            </w:r>
          </w:p>
        </w:tc>
        <w:tc>
          <w:tcPr>
            <w:tcW w:w="2900" w:type="dxa"/>
            <w:vAlign w:val="bottom"/>
            <w:gridSpan w:val="2"/>
          </w:tcPr>
          <w:p>
            <w:pPr>
              <w:ind w:left="120"/>
              <w:spacing w:after="0" w:line="29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Allow hedging and pledging of</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340"/>
              <w:spacing w:after="0"/>
              <w:rPr>
                <w:sz w:val="20"/>
                <w:szCs w:val="20"/>
                <w:color w:val="auto"/>
              </w:rPr>
            </w:pPr>
            <w:r>
              <w:rPr>
                <w:rFonts w:ascii="Arial" w:cs="Arial" w:eastAsia="Arial" w:hAnsi="Arial"/>
                <w:sz w:val="16"/>
                <w:szCs w:val="16"/>
                <w:color w:val="auto"/>
              </w:rPr>
              <w:t>goals that reflect stretch levels of performance</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auto"/>
              </w:rPr>
              <w:t>Company securities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980" w:type="dxa"/>
            <w:vAlign w:val="bottom"/>
          </w:tcPr>
          <w:p>
            <w:pPr>
              <w:spacing w:after="0" w:line="298"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Ensure that the HRCC has the discretion to apply negative adjustments to</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4"/>
                <w:szCs w:val="24"/>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6"/>
                <w:szCs w:val="16"/>
                <w:color w:val="auto"/>
              </w:rPr>
              <w:t>​</w:t>
            </w:r>
          </w:p>
        </w:tc>
        <w:tc>
          <w:tcPr>
            <w:tcW w:w="2900" w:type="dxa"/>
            <w:vAlign w:val="bottom"/>
            <w:gridSpan w:val="2"/>
          </w:tcPr>
          <w:p>
            <w:pPr>
              <w:ind w:left="120"/>
              <w:spacing w:after="0" w:line="29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Provide for minimum payments under</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340"/>
              <w:spacing w:after="0"/>
              <w:rPr>
                <w:sz w:val="20"/>
                <w:szCs w:val="20"/>
                <w:color w:val="auto"/>
              </w:rPr>
            </w:pPr>
            <w:r>
              <w:rPr>
                <w:rFonts w:ascii="Arial" w:cs="Arial" w:eastAsia="Arial" w:hAnsi="Arial"/>
                <w:sz w:val="16"/>
                <w:szCs w:val="16"/>
                <w:color w:val="auto"/>
              </w:rPr>
              <w:t>incentive awards</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auto"/>
              </w:rPr>
              <w:t>our performance-based incentives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5980" w:type="dxa"/>
            <w:vAlign w:val="bottom"/>
          </w:tcPr>
          <w:p>
            <w:pPr>
              <w:spacing w:after="0" w:line="299"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Maintain an executive compensation recoupment (clawback) policy that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4"/>
                <w:szCs w:val="24"/>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6"/>
                <w:szCs w:val="16"/>
                <w:color w:val="auto"/>
              </w:rPr>
              <w:t>​ ​</w:t>
            </w:r>
          </w:p>
        </w:tc>
        <w:tc>
          <w:tcPr>
            <w:tcW w:w="2900" w:type="dxa"/>
            <w:vAlign w:val="bottom"/>
            <w:gridSpan w:val="2"/>
          </w:tcPr>
          <w:p>
            <w:pPr>
              <w:ind w:left="100"/>
              <w:spacing w:after="0" w:line="299"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980" w:type="dxa"/>
            <w:vAlign w:val="bottom"/>
          </w:tcPr>
          <w:p>
            <w:pPr>
              <w:ind w:left="340"/>
              <w:spacing w:after="0" w:line="175" w:lineRule="exact"/>
              <w:rPr>
                <w:sz w:val="20"/>
                <w:szCs w:val="20"/>
                <w:color w:val="auto"/>
              </w:rPr>
            </w:pPr>
            <w:r>
              <w:rPr>
                <w:rFonts w:ascii="Arial" w:cs="Arial" w:eastAsia="Arial" w:hAnsi="Arial"/>
                <w:sz w:val="16"/>
                <w:szCs w:val="16"/>
                <w:color w:val="auto"/>
              </w:rPr>
              <w:t>provides for the recovery of performance-based cash and equity incentive</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340"/>
              <w:spacing w:after="0"/>
              <w:rPr>
                <w:sz w:val="20"/>
                <w:szCs w:val="20"/>
                <w:color w:val="auto"/>
              </w:rPr>
            </w:pPr>
            <w:r>
              <w:rPr>
                <w:rFonts w:ascii="Arial" w:cs="Arial" w:eastAsia="Arial" w:hAnsi="Arial"/>
                <w:sz w:val="16"/>
                <w:szCs w:val="16"/>
                <w:color w:val="auto"/>
              </w:rPr>
              <w:t>compensation paid to executive officers in various circumstances, including for</w:t>
            </w:r>
          </w:p>
        </w:tc>
        <w:tc>
          <w:tcPr>
            <w:tcW w:w="1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rPr>
                <w:sz w:val="20"/>
                <w:szCs w:val="20"/>
                <w:color w:val="auto"/>
              </w:rPr>
            </w:pPr>
            <w:r>
              <w:rPr>
                <w:rFonts w:ascii="Arial" w:cs="Arial" w:eastAsia="Arial" w:hAnsi="Arial"/>
                <w:sz w:val="16"/>
                <w:szCs w:val="16"/>
                <w:color w:val="auto"/>
              </w:rPr>
              <w:t>misconduct and certain financial restatements</w:t>
            </w:r>
          </w:p>
        </w:tc>
        <w:tc>
          <w:tcPr>
            <w:tcW w:w="1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5980" w:type="dxa"/>
            <w:vAlign w:val="bottom"/>
          </w:tcPr>
          <w:p>
            <w:pPr>
              <w:spacing w:after="0" w:line="298"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Review annually our incentive compensation programs to ensure they do not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4"/>
                <w:szCs w:val="24"/>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6"/>
                <w:szCs w:val="16"/>
                <w:color w:val="auto"/>
              </w:rPr>
              <w:t>​ ​</w:t>
            </w:r>
          </w:p>
        </w:tc>
        <w:tc>
          <w:tcPr>
            <w:tcW w:w="2900" w:type="dxa"/>
            <w:vAlign w:val="bottom"/>
            <w:gridSpan w:val="2"/>
          </w:tcPr>
          <w:p>
            <w:pPr>
              <w:ind w:left="100"/>
              <w:spacing w:after="0" w:line="298"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340"/>
              <w:spacing w:after="0"/>
              <w:rPr>
                <w:sz w:val="20"/>
                <w:szCs w:val="20"/>
                <w:color w:val="auto"/>
              </w:rPr>
            </w:pPr>
            <w:r>
              <w:rPr>
                <w:rFonts w:ascii="Arial" w:cs="Arial" w:eastAsia="Arial" w:hAnsi="Arial"/>
                <w:sz w:val="16"/>
                <w:szCs w:val="16"/>
                <w:color w:val="auto"/>
              </w:rPr>
              <w:t>encourage excessive risk-taking</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980" w:type="dxa"/>
            <w:vAlign w:val="bottom"/>
          </w:tcPr>
          <w:p>
            <w:pPr>
              <w:spacing w:after="0" w:line="298"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Conduct annual “say-on-pay” advisory votes, a practice we are recommending</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4"/>
                <w:szCs w:val="24"/>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6"/>
                <w:szCs w:val="16"/>
                <w:color w:val="auto"/>
              </w:rPr>
              <w:t>​ ​</w:t>
            </w:r>
          </w:p>
        </w:tc>
        <w:tc>
          <w:tcPr>
            <w:tcW w:w="2900" w:type="dxa"/>
            <w:vAlign w:val="bottom"/>
            <w:gridSpan w:val="2"/>
          </w:tcPr>
          <w:p>
            <w:pPr>
              <w:ind w:left="100"/>
              <w:spacing w:after="0" w:line="298"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340"/>
              <w:spacing w:after="0"/>
              <w:rPr>
                <w:sz w:val="20"/>
                <w:szCs w:val="20"/>
                <w:color w:val="auto"/>
              </w:rPr>
            </w:pPr>
            <w:r>
              <w:rPr>
                <w:rFonts w:ascii="Arial" w:cs="Arial" w:eastAsia="Arial" w:hAnsi="Arial"/>
                <w:sz w:val="16"/>
                <w:szCs w:val="16"/>
                <w:color w:val="auto"/>
              </w:rPr>
              <w:t>continuing in future years</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5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-2750820</wp:posOffset>
            </wp:positionV>
            <wp:extent cx="840105"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40105" cy="12001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-2511425</wp:posOffset>
            </wp:positionV>
            <wp:extent cx="16256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-2511425</wp:posOffset>
            </wp:positionV>
            <wp:extent cx="16319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-2176780</wp:posOffset>
            </wp:positionV>
            <wp:extent cx="16256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-2176780</wp:posOffset>
            </wp:positionV>
            <wp:extent cx="16319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-1851025</wp:posOffset>
            </wp:positionV>
            <wp:extent cx="16256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-1851025</wp:posOffset>
            </wp:positionV>
            <wp:extent cx="16319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-1525270</wp:posOffset>
            </wp:positionV>
            <wp:extent cx="16256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-1525270</wp:posOffset>
            </wp:positionV>
            <wp:extent cx="16319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-1199515</wp:posOffset>
            </wp:positionV>
            <wp:extent cx="16256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-650875</wp:posOffset>
            </wp:positionV>
            <wp:extent cx="16256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-325120</wp:posOffset>
            </wp:positionV>
            <wp:extent cx="16256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Fiscal 2025 Executive Compensation Highlights</w:t>
      </w:r>
    </w:p>
    <w:p>
      <w:pPr>
        <w:spacing w:after="0" w:line="112" w:lineRule="exact"/>
        <w:rPr>
          <w:sz w:val="20"/>
          <w:szCs w:val="20"/>
          <w:color w:val="auto"/>
        </w:rPr>
      </w:pPr>
    </w:p>
    <w:p>
      <w:pPr>
        <w:jc w:val="both"/>
        <w:ind w:left="680" w:right="120"/>
        <w:spacing w:after="0" w:line="284" w:lineRule="auto"/>
        <w:rPr>
          <w:sz w:val="20"/>
          <w:szCs w:val="20"/>
          <w:color w:val="auto"/>
        </w:rPr>
      </w:pPr>
      <w:r>
        <w:rPr>
          <w:rFonts w:ascii="Arial" w:cs="Arial" w:eastAsia="Arial" w:hAnsi="Arial"/>
          <w:sz w:val="16"/>
          <w:szCs w:val="16"/>
          <w:color w:val="auto"/>
        </w:rPr>
        <w:t>Our executive compensation program for fiscal 2025, overseen by the HRCC, helped drive our business strategy and objectives and reflected a pay-for-performance philosophy aligned with long-term shareholder interests. Our 2025 executive compensation program was designed to:</w:t>
      </w:r>
    </w:p>
    <w:p>
      <w:pPr>
        <w:spacing w:after="0" w:line="22" w:lineRule="exact"/>
        <w:rPr>
          <w:sz w:val="20"/>
          <w:szCs w:val="20"/>
          <w:color w:val="auto"/>
        </w:rPr>
      </w:pPr>
    </w:p>
    <w:p>
      <w:pPr>
        <w:ind w:left="860" w:right="260" w:hanging="188"/>
        <w:spacing w:after="0" w:line="286"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Align the interests of executive officers with those of our shareholders with the objective of increasing shareholder value through the use of performance-based incentives, including equity;</w:t>
      </w:r>
    </w:p>
    <w:p>
      <w:pPr>
        <w:spacing w:after="0" w:line="20" w:lineRule="exact"/>
        <w:rPr>
          <w:rFonts w:ascii="Arial" w:cs="Arial" w:eastAsia="Arial" w:hAnsi="Arial"/>
          <w:sz w:val="16"/>
          <w:szCs w:val="16"/>
          <w:color w:val="auto"/>
        </w:rPr>
      </w:pPr>
    </w:p>
    <w:p>
      <w:pPr>
        <w:ind w:left="860" w:right="40" w:hanging="188"/>
        <w:spacing w:after="0" w:line="304"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 competitive, but not excessive, in order to attract, motivate and retain talented executive officers who can achieve our long-term strategic goals and create shareholder value;</w:t>
      </w:r>
    </w:p>
    <w:p>
      <w:pPr>
        <w:spacing w:after="0" w:line="6" w:lineRule="exact"/>
        <w:rPr>
          <w:rFonts w:ascii="Arial" w:cs="Arial" w:eastAsia="Arial" w:hAnsi="Arial"/>
          <w:sz w:val="16"/>
          <w:szCs w:val="16"/>
          <w:color w:val="auto"/>
        </w:rPr>
      </w:pPr>
    </w:p>
    <w:p>
      <w:pPr>
        <w:ind w:left="860" w:right="80" w:hanging="188"/>
        <w:spacing w:after="0" w:line="304"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Focus on total compensation opportunity (base salary, annual incentive compensation and long-term incentive compensation) with an explicit role for each element;</w:t>
      </w:r>
    </w:p>
    <w:p>
      <w:pPr>
        <w:spacing w:after="0" w:line="6" w:lineRule="exact"/>
        <w:rPr>
          <w:rFonts w:ascii="Arial" w:cs="Arial" w:eastAsia="Arial" w:hAnsi="Arial"/>
          <w:sz w:val="16"/>
          <w:szCs w:val="16"/>
          <w:color w:val="auto"/>
        </w:rPr>
      </w:pPr>
    </w:p>
    <w:p>
      <w:pPr>
        <w:ind w:left="860" w:hanging="188"/>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Reward corporate and individual performance to encourage collaboration and collective interests, and recognize key contributors;</w:t>
      </w:r>
    </w:p>
    <w:p>
      <w:pPr>
        <w:spacing w:after="0" w:line="86" w:lineRule="exact"/>
        <w:rPr>
          <w:rFonts w:ascii="Arial" w:cs="Arial" w:eastAsia="Arial" w:hAnsi="Arial"/>
          <w:sz w:val="16"/>
          <w:szCs w:val="16"/>
          <w:color w:val="auto"/>
        </w:rPr>
      </w:pPr>
    </w:p>
    <w:p>
      <w:pPr>
        <w:ind w:left="860" w:hanging="188"/>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Maintain a balanced mix of compensation elements, with an emphasis on performance-based compensation;</w:t>
      </w:r>
    </w:p>
    <w:p>
      <w:pPr>
        <w:spacing w:after="0" w:line="86" w:lineRule="exact"/>
        <w:rPr>
          <w:rFonts w:ascii="Arial" w:cs="Arial" w:eastAsia="Arial" w:hAnsi="Arial"/>
          <w:sz w:val="16"/>
          <w:szCs w:val="16"/>
          <w:color w:val="auto"/>
        </w:rPr>
      </w:pPr>
    </w:p>
    <w:p>
      <w:pPr>
        <w:ind w:left="860" w:right="60" w:hanging="188"/>
        <w:spacing w:after="0" w:line="286"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Incorporate rigorous goal setting as a key activity resulting in targets that reflect challenging, yet achievable, levels of performance; and</w:t>
      </w:r>
    </w:p>
    <w:p>
      <w:pPr>
        <w:spacing w:after="0" w:line="20" w:lineRule="exact"/>
        <w:rPr>
          <w:rFonts w:ascii="Arial" w:cs="Arial" w:eastAsia="Arial" w:hAnsi="Arial"/>
          <w:sz w:val="16"/>
          <w:szCs w:val="16"/>
          <w:color w:val="auto"/>
        </w:rPr>
      </w:pPr>
    </w:p>
    <w:p>
      <w:pPr>
        <w:ind w:left="860" w:hanging="188"/>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 oversight to avoid excessive compensation risk that could adversely impact the Company.</w:t>
      </w:r>
    </w:p>
    <w:p>
      <w:pPr>
        <w:spacing w:after="0" w:line="194" w:lineRule="exact"/>
        <w:rPr>
          <w:sz w:val="20"/>
          <w:szCs w:val="20"/>
          <w:color w:val="auto"/>
        </w:rPr>
      </w:pPr>
    </w:p>
    <w:p>
      <w:pPr>
        <w:ind w:left="680" w:right="160"/>
        <w:spacing w:after="0" w:line="271" w:lineRule="auto"/>
        <w:rPr>
          <w:sz w:val="20"/>
          <w:szCs w:val="20"/>
          <w:color w:val="auto"/>
        </w:rPr>
      </w:pPr>
      <w:r>
        <w:rPr>
          <w:rFonts w:ascii="Arial" w:cs="Arial" w:eastAsia="Arial" w:hAnsi="Arial"/>
          <w:sz w:val="16"/>
          <w:szCs w:val="16"/>
          <w:color w:val="auto"/>
        </w:rPr>
        <w:t>In light of the planning for and implementation of the Business Combination and later Separation, during fiscal 2025, the HRCC also considered the importance of promoting leadership stability during a critical transformational period for the Company, planning our longer-term compensation strategy, and maintaining strong HRCC oversight over decision processes and outcomes, including consideration of compensation risk and the potential for unintended outcomes during a period of significant change.</w:t>
      </w:r>
    </w:p>
    <w:p>
      <w:pPr>
        <w:spacing w:after="0" w:line="141" w:lineRule="exact"/>
        <w:rPr>
          <w:sz w:val="20"/>
          <w:szCs w:val="20"/>
          <w:color w:val="auto"/>
        </w:rPr>
      </w:pPr>
    </w:p>
    <w:p>
      <w:pPr>
        <w:ind w:left="680" w:right="100"/>
        <w:spacing w:after="0" w:line="269" w:lineRule="auto"/>
        <w:rPr>
          <w:sz w:val="20"/>
          <w:szCs w:val="20"/>
          <w:color w:val="auto"/>
        </w:rPr>
      </w:pPr>
      <w:r>
        <w:rPr>
          <w:rFonts w:ascii="Arial" w:cs="Arial" w:eastAsia="Arial" w:hAnsi="Arial"/>
          <w:sz w:val="16"/>
          <w:szCs w:val="16"/>
          <w:color w:val="auto"/>
        </w:rPr>
        <w:t>The following table summarizes the major elements of our fiscal 2025 executive compensation program for our NEOs and the objectives of each element. The elements were designed to work together, as the HRCC views the executive compensation program as an integrated total compensation program. The HRCC considered the mix of variable and fixed compensation when determining base salary and short- and long-term incentives with an emphasis on variable compensation rather than fixed compensation. Each element is described in greater detail below under the heading “Fiscal 2025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​22 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770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660" w:type="dxa"/>
            <w:vAlign w:val="bottom"/>
          </w:tcPr>
          <w:p>
            <w:pPr>
              <w:spacing w:after="0"/>
              <w:rPr>
                <w:sz w:val="24"/>
                <w:szCs w:val="24"/>
                <w:color w:val="auto"/>
              </w:rPr>
            </w:pPr>
          </w:p>
        </w:tc>
        <w:tc>
          <w:tcPr>
            <w:tcW w:w="60" w:type="dxa"/>
            <w:vAlign w:val="bottom"/>
            <w:tcBorders>
              <w:bottom w:val="single" w:sz="8" w:color="auto"/>
            </w:tcBorders>
            <w:shd w:val="clear" w:color="auto" w:fill="B2EEDE"/>
          </w:tcPr>
          <w:p>
            <w:pPr>
              <w:spacing w:after="0"/>
              <w:rPr>
                <w:sz w:val="24"/>
                <w:szCs w:val="24"/>
                <w:color w:val="auto"/>
              </w:rPr>
            </w:pPr>
          </w:p>
        </w:tc>
        <w:tc>
          <w:tcPr>
            <w:tcW w:w="2160" w:type="dxa"/>
            <w:vAlign w:val="bottom"/>
            <w:tcBorders>
              <w:bottom w:val="single" w:sz="8" w:color="auto"/>
            </w:tcBorders>
            <w:shd w:val="clear" w:color="auto" w:fill="B2EEDE"/>
          </w:tcPr>
          <w:p>
            <w:pPr>
              <w:ind w:left="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Element</w:t>
            </w:r>
          </w:p>
        </w:tc>
        <w:tc>
          <w:tcPr>
            <w:tcW w:w="140" w:type="dxa"/>
            <w:vAlign w:val="bottom"/>
            <w:tcBorders>
              <w:bottom w:val="single" w:sz="8" w:color="auto"/>
              <w:right w:val="single" w:sz="8" w:color="auto"/>
            </w:tcBorders>
            <w:shd w:val="clear" w:color="auto" w:fill="B2EEDE"/>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B2EEDE"/>
          </w:tcPr>
          <w:p>
            <w:pPr>
              <w:ind w:left="40"/>
              <w:spacing w:after="0"/>
              <w:rPr>
                <w:sz w:val="20"/>
                <w:szCs w:val="20"/>
                <w:color w:val="auto"/>
              </w:rPr>
            </w:pPr>
            <w:r>
              <w:rPr>
                <w:rFonts w:ascii="Arial" w:cs="Arial" w:eastAsia="Arial" w:hAnsi="Arial"/>
                <w:sz w:val="14"/>
                <w:szCs w:val="14"/>
                <w:b w:val="1"/>
                <w:bCs w:val="1"/>
                <w:color w:val="auto"/>
              </w:rPr>
              <w:t>​</w:t>
            </w:r>
          </w:p>
        </w:tc>
        <w:tc>
          <w:tcPr>
            <w:tcW w:w="3280" w:type="dxa"/>
            <w:vAlign w:val="bottom"/>
            <w:tcBorders>
              <w:bottom w:val="single" w:sz="8" w:color="auto"/>
            </w:tcBorders>
            <w:shd w:val="clear" w:color="auto" w:fill="B2EEDE"/>
          </w:tcPr>
          <w:p>
            <w:pPr>
              <w:ind w:left="1160"/>
              <w:spacing w:after="0"/>
              <w:rPr>
                <w:sz w:val="20"/>
                <w:szCs w:val="20"/>
                <w:color w:val="auto"/>
              </w:rPr>
            </w:pPr>
            <w:r>
              <w:rPr>
                <w:rFonts w:ascii="Arial" w:cs="Arial" w:eastAsia="Arial" w:hAnsi="Arial"/>
                <w:sz w:val="14"/>
                <w:szCs w:val="14"/>
                <w:b w:val="1"/>
                <w:bCs w:val="1"/>
                <w:color w:val="auto"/>
              </w:rPr>
              <w:t>Key Features</w:t>
            </w:r>
          </w:p>
        </w:tc>
        <w:tc>
          <w:tcPr>
            <w:tcW w:w="100" w:type="dxa"/>
            <w:vAlign w:val="bottom"/>
            <w:tcBorders>
              <w:bottom w:val="single" w:sz="8" w:color="auto"/>
              <w:right w:val="single" w:sz="8" w:color="auto"/>
            </w:tcBorders>
            <w:shd w:val="clear" w:color="auto" w:fill="B2EEDE"/>
          </w:tcPr>
          <w:p>
            <w:pPr>
              <w:ind w:left="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3260" w:type="dxa"/>
            <w:vAlign w:val="bottom"/>
            <w:tcBorders>
              <w:bottom w:val="single" w:sz="8" w:color="auto"/>
            </w:tcBorders>
            <w:shd w:val="clear" w:color="auto" w:fill="B2EEDE"/>
          </w:tcPr>
          <w:p>
            <w:pPr>
              <w:ind w:left="1260"/>
              <w:spacing w:after="0"/>
              <w:rPr>
                <w:sz w:val="20"/>
                <w:szCs w:val="20"/>
                <w:color w:val="auto"/>
              </w:rPr>
            </w:pPr>
            <w:r>
              <w:rPr>
                <w:rFonts w:ascii="Arial" w:cs="Arial" w:eastAsia="Arial" w:hAnsi="Arial"/>
                <w:sz w:val="14"/>
                <w:szCs w:val="14"/>
                <w:b w:val="1"/>
                <w:bCs w:val="1"/>
                <w:color w:val="auto"/>
              </w:rPr>
              <w:t>Objectives</w:t>
            </w:r>
          </w:p>
        </w:tc>
        <w:tc>
          <w:tcPr>
            <w:tcW w:w="120" w:type="dxa"/>
            <w:vAlign w:val="bottom"/>
            <w:tcBorders>
              <w:bottom w:val="single" w:sz="8" w:color="auto"/>
            </w:tcBorders>
            <w:shd w:val="clear" w:color="auto" w:fill="B2EEDE"/>
          </w:tcPr>
          <w:p>
            <w:pPr>
              <w:ind w:left="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216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Base salary</w:t>
            </w:r>
          </w:p>
        </w:tc>
        <w:tc>
          <w:tcPr>
            <w:tcW w:w="1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Fixed cash compensation.</w:t>
            </w:r>
          </w:p>
        </w:tc>
        <w:tc>
          <w:tcPr>
            <w:tcW w:w="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60" w:type="dxa"/>
            <w:vAlign w:val="bottom"/>
          </w:tcPr>
          <w:p>
            <w:pPr>
              <w:ind w:left="60"/>
              <w:spacing w:after="0"/>
              <w:rPr>
                <w:sz w:val="20"/>
                <w:szCs w:val="20"/>
                <w:color w:val="auto"/>
              </w:rPr>
            </w:pPr>
            <w:r>
              <w:rPr>
                <w:rFonts w:ascii="Arial" w:cs="Arial" w:eastAsia="Arial" w:hAnsi="Arial"/>
                <w:sz w:val="16"/>
                <w:szCs w:val="16"/>
                <w:color w:val="auto"/>
              </w:rPr>
              <w:t>Offer a stable income, with differentiation for</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ind w:left="60"/>
              <w:spacing w:after="0" w:line="175" w:lineRule="exact"/>
              <w:rPr>
                <w:sz w:val="20"/>
                <w:szCs w:val="20"/>
                <w:color w:val="auto"/>
              </w:rPr>
            </w:pPr>
            <w:r>
              <w:rPr>
                <w:rFonts w:ascii="Arial" w:cs="Arial" w:eastAsia="Arial" w:hAnsi="Arial"/>
                <w:sz w:val="16"/>
                <w:szCs w:val="16"/>
                <w:color w:val="auto"/>
              </w:rPr>
              <w:t>strategic significance, individual capability</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and experience.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right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2300" w:type="dxa"/>
            <w:vAlign w:val="bottom"/>
            <w:tcBorders>
              <w:right w:val="single" w:sz="8" w:color="auto"/>
            </w:tcBorders>
            <w:gridSpan w:val="2"/>
            <w:shd w:val="clear" w:color="auto" w:fill="E5E5E5"/>
          </w:tcPr>
          <w:p>
            <w:pPr>
              <w:ind w:left="80"/>
              <w:spacing w:after="0" w:line="195" w:lineRule="exact"/>
              <w:rPr>
                <w:sz w:val="20"/>
                <w:szCs w:val="20"/>
                <w:color w:val="auto"/>
              </w:rPr>
            </w:pPr>
            <w:r>
              <w:rPr>
                <w:rFonts w:ascii="Arial" w:cs="Arial" w:eastAsia="Arial" w:hAnsi="Arial"/>
                <w:sz w:val="14"/>
                <w:szCs w:val="14"/>
                <w:b w:val="1"/>
                <w:bCs w:val="1"/>
                <w:color w:val="auto"/>
              </w:rPr>
              <w:t xml:space="preserve">2025 Annual short-term </w:t>
            </w:r>
            <w:r>
              <w:rPr>
                <w:rFonts w:ascii="Arial" w:cs="Arial" w:eastAsia="Arial" w:hAnsi="Arial"/>
                <w:sz w:val="22"/>
                <w:szCs w:val="22"/>
                <w:color w:val="auto"/>
                <w:vertAlign w:val="superscript"/>
              </w:rPr>
              <w:t>​</w:t>
            </w:r>
          </w:p>
        </w:tc>
        <w:tc>
          <w:tcPr>
            <w:tcW w:w="14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3380" w:type="dxa"/>
            <w:vAlign w:val="bottom"/>
            <w:tcBorders>
              <w:right w:val="single" w:sz="8" w:color="auto"/>
            </w:tcBorders>
            <w:gridSpan w:val="2"/>
            <w:shd w:val="clear" w:color="auto" w:fill="E5E5E5"/>
          </w:tcPr>
          <w:p>
            <w:pPr>
              <w:ind w:left="60"/>
              <w:spacing w:after="0" w:line="195" w:lineRule="exact"/>
              <w:rPr>
                <w:sz w:val="20"/>
                <w:szCs w:val="20"/>
                <w:color w:val="auto"/>
              </w:rPr>
            </w:pPr>
            <w:r>
              <w:rPr>
                <w:rFonts w:ascii="Arial" w:cs="Arial" w:eastAsia="Arial" w:hAnsi="Arial"/>
                <w:sz w:val="13"/>
                <w:szCs w:val="13"/>
                <w:color w:val="auto"/>
              </w:rPr>
              <w:t xml:space="preserve">Performance-based cash bonus opportunity: </w:t>
            </w:r>
            <w:r>
              <w:rPr>
                <w:rFonts w:ascii="Arial" w:cs="Arial" w:eastAsia="Arial" w:hAnsi="Arial"/>
                <w:sz w:val="22"/>
                <w:szCs w:val="22"/>
                <w:color w:val="auto"/>
                <w:vertAlign w:val="superscript"/>
              </w:rPr>
              <w:t>​</w:t>
            </w:r>
          </w:p>
        </w:tc>
        <w:tc>
          <w:tcPr>
            <w:tcW w:w="14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3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Focus executive officers on shareholder</w:t>
            </w:r>
          </w:p>
        </w:tc>
        <w:tc>
          <w:tcPr>
            <w:tcW w:w="12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1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b w:val="1"/>
                <w:bCs w:val="1"/>
                <w:color w:val="auto"/>
              </w:rPr>
              <w:t>incentive compensation</w:t>
            </w:r>
          </w:p>
        </w:tc>
        <w:tc>
          <w:tcPr>
            <w:tcW w:w="140" w:type="dxa"/>
            <w:vAlign w:val="bottom"/>
            <w:tcBorders>
              <w:right w:val="single" w:sz="8" w:color="auto"/>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28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 Calculation for each executive officer’s</w:t>
            </w:r>
          </w:p>
        </w:tc>
        <w:tc>
          <w:tcPr>
            <w:tcW w:w="100" w:type="dxa"/>
            <w:vAlign w:val="bottom"/>
            <w:tcBorders>
              <w:right w:val="single" w:sz="8" w:color="auto"/>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value objectives and drive specific behaviors</w:t>
            </w:r>
          </w:p>
        </w:tc>
        <w:tc>
          <w:tcPr>
            <w:tcW w:w="120" w:type="dxa"/>
            <w:vAlign w:val="bottom"/>
            <w:shd w:val="clear" w:color="auto" w:fill="E5E5E5"/>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60" w:type="dxa"/>
            <w:vAlign w:val="bottom"/>
            <w:shd w:val="clear" w:color="auto" w:fill="E5E5E5"/>
          </w:tcPr>
          <w:p>
            <w:pPr>
              <w:spacing w:after="0"/>
              <w:rPr>
                <w:sz w:val="9"/>
                <w:szCs w:val="9"/>
                <w:color w:val="auto"/>
              </w:rPr>
            </w:pPr>
          </w:p>
        </w:tc>
        <w:tc>
          <w:tcPr>
            <w:tcW w:w="2160" w:type="dxa"/>
            <w:vAlign w:val="bottom"/>
            <w:vMerge w:val="restart"/>
            <w:shd w:val="clear" w:color="auto" w:fill="E5E5E5"/>
          </w:tcPr>
          <w:p>
            <w:pPr>
              <w:ind w:left="80"/>
              <w:spacing w:after="0" w:line="189" w:lineRule="exact"/>
              <w:rPr>
                <w:sz w:val="20"/>
                <w:szCs w:val="20"/>
                <w:color w:val="auto"/>
              </w:rPr>
            </w:pPr>
            <w:r>
              <w:rPr>
                <w:rFonts w:ascii="Arial" w:cs="Arial" w:eastAsia="Arial" w:hAnsi="Arial"/>
                <w:sz w:val="18"/>
                <w:szCs w:val="18"/>
                <w:b w:val="1"/>
                <w:bCs w:val="1"/>
                <w:color w:val="auto"/>
              </w:rPr>
              <w:t>(“STIP”) awards</w:t>
            </w:r>
          </w:p>
        </w:tc>
        <w:tc>
          <w:tcPr>
            <w:tcW w:w="140" w:type="dxa"/>
            <w:vAlign w:val="bottom"/>
            <w:tcBorders>
              <w:right w:val="single" w:sz="8" w:color="auto"/>
            </w:tcBorders>
            <w:shd w:val="clear" w:color="auto" w:fill="E5E5E5"/>
          </w:tcPr>
          <w:p>
            <w:pPr>
              <w:spacing w:after="0"/>
              <w:rPr>
                <w:sz w:val="9"/>
                <w:szCs w:val="9"/>
                <w:color w:val="auto"/>
              </w:rPr>
            </w:pPr>
          </w:p>
        </w:tc>
        <w:tc>
          <w:tcPr>
            <w:tcW w:w="140" w:type="dxa"/>
            <w:vAlign w:val="bottom"/>
            <w:shd w:val="clear" w:color="auto" w:fill="E5E5E5"/>
          </w:tcPr>
          <w:p>
            <w:pPr>
              <w:spacing w:after="0"/>
              <w:rPr>
                <w:sz w:val="9"/>
                <w:szCs w:val="9"/>
                <w:color w:val="auto"/>
              </w:rPr>
            </w:pPr>
          </w:p>
        </w:tc>
        <w:tc>
          <w:tcPr>
            <w:tcW w:w="3280" w:type="dxa"/>
            <w:vAlign w:val="bottom"/>
            <w:vMerge w:val="continue"/>
            <w:shd w:val="clear" w:color="auto" w:fill="E5E5E5"/>
          </w:tcPr>
          <w:p>
            <w:pPr>
              <w:spacing w:after="0"/>
              <w:rPr>
                <w:sz w:val="9"/>
                <w:szCs w:val="9"/>
                <w:color w:val="auto"/>
              </w:rPr>
            </w:pPr>
          </w:p>
        </w:tc>
        <w:tc>
          <w:tcPr>
            <w:tcW w:w="100" w:type="dxa"/>
            <w:vAlign w:val="bottom"/>
            <w:tcBorders>
              <w:right w:val="single" w:sz="8" w:color="auto"/>
            </w:tcBorders>
            <w:shd w:val="clear" w:color="auto" w:fill="E5E5E5"/>
          </w:tcPr>
          <w:p>
            <w:pPr>
              <w:spacing w:after="0"/>
              <w:rPr>
                <w:sz w:val="9"/>
                <w:szCs w:val="9"/>
                <w:color w:val="auto"/>
              </w:rPr>
            </w:pPr>
          </w:p>
        </w:tc>
        <w:tc>
          <w:tcPr>
            <w:tcW w:w="140" w:type="dxa"/>
            <w:vAlign w:val="bottom"/>
            <w:shd w:val="clear" w:color="auto" w:fill="E5E5E5"/>
          </w:tcPr>
          <w:p>
            <w:pPr>
              <w:spacing w:after="0"/>
              <w:rPr>
                <w:sz w:val="9"/>
                <w:szCs w:val="9"/>
                <w:color w:val="auto"/>
              </w:rPr>
            </w:pPr>
          </w:p>
        </w:tc>
        <w:tc>
          <w:tcPr>
            <w:tcW w:w="326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that foster short- and long-term value</w:t>
            </w:r>
          </w:p>
        </w:tc>
        <w:tc>
          <w:tcPr>
            <w:tcW w:w="120" w:type="dxa"/>
            <w:vAlign w:val="bottom"/>
            <w:shd w:val="clear" w:color="auto" w:fill="E5E5E5"/>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2160" w:type="dxa"/>
            <w:vAlign w:val="bottom"/>
            <w:vMerge w:val="continue"/>
            <w:shd w:val="clear" w:color="auto" w:fill="E5E5E5"/>
          </w:tcPr>
          <w:p>
            <w:pPr>
              <w:spacing w:after="0"/>
              <w:rPr>
                <w:sz w:val="7"/>
                <w:szCs w:val="7"/>
                <w:color w:val="auto"/>
              </w:rPr>
            </w:pPr>
          </w:p>
        </w:tc>
        <w:tc>
          <w:tcPr>
            <w:tcW w:w="140" w:type="dxa"/>
            <w:vAlign w:val="bottom"/>
            <w:tcBorders>
              <w:right w:val="single" w:sz="8" w:color="auto"/>
            </w:tcBorders>
            <w:shd w:val="clear" w:color="auto" w:fill="E5E5E5"/>
          </w:tcPr>
          <w:p>
            <w:pPr>
              <w:spacing w:after="0"/>
              <w:rPr>
                <w:sz w:val="7"/>
                <w:szCs w:val="7"/>
                <w:color w:val="auto"/>
              </w:rPr>
            </w:pPr>
          </w:p>
        </w:tc>
        <w:tc>
          <w:tcPr>
            <w:tcW w:w="140" w:type="dxa"/>
            <w:vAlign w:val="bottom"/>
            <w:shd w:val="clear" w:color="auto" w:fill="E5E5E5"/>
          </w:tcPr>
          <w:p>
            <w:pPr>
              <w:spacing w:after="0"/>
              <w:rPr>
                <w:sz w:val="7"/>
                <w:szCs w:val="7"/>
                <w:color w:val="auto"/>
              </w:rPr>
            </w:pPr>
          </w:p>
        </w:tc>
        <w:tc>
          <w:tcPr>
            <w:tcW w:w="3280" w:type="dxa"/>
            <w:vAlign w:val="bottom"/>
            <w:vMerge w:val="restart"/>
            <w:shd w:val="clear" w:color="auto" w:fill="E5E5E5"/>
          </w:tcPr>
          <w:p>
            <w:pPr>
              <w:ind w:left="220"/>
              <w:spacing w:after="0" w:line="175" w:lineRule="exact"/>
              <w:rPr>
                <w:sz w:val="20"/>
                <w:szCs w:val="20"/>
                <w:color w:val="auto"/>
              </w:rPr>
            </w:pPr>
            <w:r>
              <w:rPr>
                <w:rFonts w:ascii="Arial" w:cs="Arial" w:eastAsia="Arial" w:hAnsi="Arial"/>
                <w:sz w:val="16"/>
                <w:szCs w:val="16"/>
                <w:color w:val="auto"/>
              </w:rPr>
              <w:t>cash incentive is based on performance</w:t>
            </w:r>
          </w:p>
        </w:tc>
        <w:tc>
          <w:tcPr>
            <w:tcW w:w="100" w:type="dxa"/>
            <w:vAlign w:val="bottom"/>
            <w:tcBorders>
              <w:right w:val="single" w:sz="8" w:color="auto"/>
            </w:tcBorders>
            <w:shd w:val="clear" w:color="auto" w:fill="E5E5E5"/>
          </w:tcPr>
          <w:p>
            <w:pPr>
              <w:spacing w:after="0"/>
              <w:rPr>
                <w:sz w:val="7"/>
                <w:szCs w:val="7"/>
                <w:color w:val="auto"/>
              </w:rPr>
            </w:pPr>
          </w:p>
        </w:tc>
        <w:tc>
          <w:tcPr>
            <w:tcW w:w="140" w:type="dxa"/>
            <w:vAlign w:val="bottom"/>
            <w:shd w:val="clear" w:color="auto" w:fill="E5E5E5"/>
          </w:tcPr>
          <w:p>
            <w:pPr>
              <w:spacing w:after="0"/>
              <w:rPr>
                <w:sz w:val="7"/>
                <w:szCs w:val="7"/>
                <w:color w:val="auto"/>
              </w:rPr>
            </w:pPr>
          </w:p>
        </w:tc>
        <w:tc>
          <w:tcPr>
            <w:tcW w:w="326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2160" w:type="dxa"/>
            <w:vAlign w:val="bottom"/>
            <w:shd w:val="clear" w:color="auto" w:fill="E5E5E5"/>
          </w:tcPr>
          <w:p>
            <w:pPr>
              <w:spacing w:after="0"/>
              <w:rPr>
                <w:sz w:val="8"/>
                <w:szCs w:val="8"/>
                <w:color w:val="auto"/>
              </w:rPr>
            </w:pPr>
          </w:p>
        </w:tc>
        <w:tc>
          <w:tcPr>
            <w:tcW w:w="140" w:type="dxa"/>
            <w:vAlign w:val="bottom"/>
            <w:tcBorders>
              <w:right w:val="single" w:sz="8" w:color="auto"/>
            </w:tcBorders>
            <w:shd w:val="clear" w:color="auto" w:fill="E5E5E5"/>
          </w:tcPr>
          <w:p>
            <w:pPr>
              <w:spacing w:after="0"/>
              <w:rPr>
                <w:sz w:val="8"/>
                <w:szCs w:val="8"/>
                <w:color w:val="auto"/>
              </w:rPr>
            </w:pPr>
          </w:p>
        </w:tc>
        <w:tc>
          <w:tcPr>
            <w:tcW w:w="140" w:type="dxa"/>
            <w:vAlign w:val="bottom"/>
            <w:shd w:val="clear" w:color="auto" w:fill="E5E5E5"/>
          </w:tcPr>
          <w:p>
            <w:pPr>
              <w:spacing w:after="0"/>
              <w:rPr>
                <w:sz w:val="8"/>
                <w:szCs w:val="8"/>
                <w:color w:val="auto"/>
              </w:rPr>
            </w:pPr>
          </w:p>
        </w:tc>
        <w:tc>
          <w:tcPr>
            <w:tcW w:w="3280" w:type="dxa"/>
            <w:vAlign w:val="bottom"/>
            <w:vMerge w:val="continue"/>
            <w:shd w:val="clear" w:color="auto" w:fill="E5E5E5"/>
          </w:tcPr>
          <w:p>
            <w:pPr>
              <w:spacing w:after="0"/>
              <w:rPr>
                <w:sz w:val="8"/>
                <w:szCs w:val="8"/>
                <w:color w:val="auto"/>
              </w:rPr>
            </w:pPr>
          </w:p>
        </w:tc>
        <w:tc>
          <w:tcPr>
            <w:tcW w:w="100" w:type="dxa"/>
            <w:vAlign w:val="bottom"/>
            <w:tcBorders>
              <w:right w:val="single" w:sz="8" w:color="auto"/>
            </w:tcBorders>
            <w:shd w:val="clear" w:color="auto" w:fill="E5E5E5"/>
          </w:tcPr>
          <w:p>
            <w:pPr>
              <w:spacing w:after="0"/>
              <w:rPr>
                <w:sz w:val="8"/>
                <w:szCs w:val="8"/>
                <w:color w:val="auto"/>
              </w:rPr>
            </w:pPr>
          </w:p>
        </w:tc>
        <w:tc>
          <w:tcPr>
            <w:tcW w:w="140" w:type="dxa"/>
            <w:vAlign w:val="bottom"/>
            <w:shd w:val="clear" w:color="auto" w:fill="E5E5E5"/>
          </w:tcPr>
          <w:p>
            <w:pPr>
              <w:spacing w:after="0"/>
              <w:rPr>
                <w:sz w:val="8"/>
                <w:szCs w:val="8"/>
                <w:color w:val="auto"/>
              </w:rPr>
            </w:pPr>
          </w:p>
        </w:tc>
        <w:tc>
          <w:tcPr>
            <w:tcW w:w="326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creation.</w:t>
            </w:r>
          </w:p>
        </w:tc>
        <w:tc>
          <w:tcPr>
            <w:tcW w:w="120" w:type="dxa"/>
            <w:vAlign w:val="bottom"/>
            <w:shd w:val="clear" w:color="auto" w:fill="E5E5E5"/>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2160" w:type="dxa"/>
            <w:vAlign w:val="bottom"/>
            <w:shd w:val="clear" w:color="auto" w:fill="E5E5E5"/>
          </w:tcPr>
          <w:p>
            <w:pPr>
              <w:spacing w:after="0"/>
              <w:rPr>
                <w:sz w:val="10"/>
                <w:szCs w:val="10"/>
                <w:color w:val="auto"/>
              </w:rPr>
            </w:pPr>
          </w:p>
        </w:tc>
        <w:tc>
          <w:tcPr>
            <w:tcW w:w="140" w:type="dxa"/>
            <w:vAlign w:val="bottom"/>
            <w:tcBorders>
              <w:right w:val="single" w:sz="8" w:color="auto"/>
            </w:tcBorders>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3280" w:type="dxa"/>
            <w:vAlign w:val="bottom"/>
            <w:vMerge w:val="restart"/>
            <w:shd w:val="clear" w:color="auto" w:fill="E5E5E5"/>
          </w:tcPr>
          <w:p>
            <w:pPr>
              <w:ind w:left="220"/>
              <w:spacing w:after="0" w:line="175" w:lineRule="exact"/>
              <w:rPr>
                <w:sz w:val="20"/>
                <w:szCs w:val="20"/>
                <w:color w:val="auto"/>
              </w:rPr>
            </w:pPr>
            <w:r>
              <w:rPr>
                <w:rFonts w:ascii="Arial" w:cs="Arial" w:eastAsia="Arial" w:hAnsi="Arial"/>
                <w:sz w:val="16"/>
                <w:szCs w:val="16"/>
                <w:color w:val="auto"/>
              </w:rPr>
              <w:t>versus pre-determined financial and</w:t>
            </w:r>
          </w:p>
        </w:tc>
        <w:tc>
          <w:tcPr>
            <w:tcW w:w="100" w:type="dxa"/>
            <w:vAlign w:val="bottom"/>
            <w:tcBorders>
              <w:right w:val="single" w:sz="8" w:color="auto"/>
            </w:tcBorders>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3260" w:type="dxa"/>
            <w:vAlign w:val="bottom"/>
            <w:vMerge w:val="continue"/>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60" w:type="dxa"/>
            <w:vAlign w:val="bottom"/>
            <w:shd w:val="clear" w:color="auto" w:fill="E5E5E5"/>
          </w:tcPr>
          <w:p>
            <w:pPr>
              <w:spacing w:after="0"/>
              <w:rPr>
                <w:sz w:val="4"/>
                <w:szCs w:val="4"/>
                <w:color w:val="auto"/>
              </w:rPr>
            </w:pPr>
          </w:p>
        </w:tc>
        <w:tc>
          <w:tcPr>
            <w:tcW w:w="2160" w:type="dxa"/>
            <w:vAlign w:val="bottom"/>
            <w:shd w:val="clear" w:color="auto" w:fill="E5E5E5"/>
          </w:tcPr>
          <w:p>
            <w:pPr>
              <w:spacing w:after="0"/>
              <w:rPr>
                <w:sz w:val="4"/>
                <w:szCs w:val="4"/>
                <w:color w:val="auto"/>
              </w:rPr>
            </w:pPr>
          </w:p>
        </w:tc>
        <w:tc>
          <w:tcPr>
            <w:tcW w:w="140" w:type="dxa"/>
            <w:vAlign w:val="bottom"/>
            <w:tcBorders>
              <w:right w:val="single" w:sz="8" w:color="auto"/>
            </w:tcBorders>
            <w:shd w:val="clear" w:color="auto" w:fill="E5E5E5"/>
          </w:tcPr>
          <w:p>
            <w:pPr>
              <w:spacing w:after="0"/>
              <w:rPr>
                <w:sz w:val="4"/>
                <w:szCs w:val="4"/>
                <w:color w:val="auto"/>
              </w:rPr>
            </w:pPr>
          </w:p>
        </w:tc>
        <w:tc>
          <w:tcPr>
            <w:tcW w:w="140" w:type="dxa"/>
            <w:vAlign w:val="bottom"/>
            <w:shd w:val="clear" w:color="auto" w:fill="E5E5E5"/>
          </w:tcPr>
          <w:p>
            <w:pPr>
              <w:spacing w:after="0"/>
              <w:rPr>
                <w:sz w:val="4"/>
                <w:szCs w:val="4"/>
                <w:color w:val="auto"/>
              </w:rPr>
            </w:pPr>
          </w:p>
        </w:tc>
        <w:tc>
          <w:tcPr>
            <w:tcW w:w="3280" w:type="dxa"/>
            <w:vAlign w:val="bottom"/>
            <w:vMerge w:val="continue"/>
            <w:shd w:val="clear" w:color="auto" w:fill="E5E5E5"/>
          </w:tcPr>
          <w:p>
            <w:pPr>
              <w:spacing w:after="0"/>
              <w:rPr>
                <w:sz w:val="4"/>
                <w:szCs w:val="4"/>
                <w:color w:val="auto"/>
              </w:rPr>
            </w:pPr>
          </w:p>
        </w:tc>
        <w:tc>
          <w:tcPr>
            <w:tcW w:w="100" w:type="dxa"/>
            <w:vAlign w:val="bottom"/>
            <w:tcBorders>
              <w:right w:val="single" w:sz="8" w:color="auto"/>
            </w:tcBorders>
            <w:shd w:val="clear" w:color="auto" w:fill="E5E5E5"/>
          </w:tcPr>
          <w:p>
            <w:pPr>
              <w:spacing w:after="0"/>
              <w:rPr>
                <w:sz w:val="4"/>
                <w:szCs w:val="4"/>
                <w:color w:val="auto"/>
              </w:rPr>
            </w:pPr>
          </w:p>
        </w:tc>
        <w:tc>
          <w:tcPr>
            <w:tcW w:w="140" w:type="dxa"/>
            <w:vAlign w:val="bottom"/>
            <w:shd w:val="clear" w:color="auto" w:fill="E5E5E5"/>
          </w:tcPr>
          <w:p>
            <w:pPr>
              <w:spacing w:after="0"/>
              <w:rPr>
                <w:sz w:val="4"/>
                <w:szCs w:val="4"/>
                <w:color w:val="auto"/>
              </w:rPr>
            </w:pPr>
          </w:p>
        </w:tc>
        <w:tc>
          <w:tcPr>
            <w:tcW w:w="3260" w:type="dxa"/>
            <w:vAlign w:val="bottom"/>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1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strategic objectives of the Company.</w:t>
            </w:r>
          </w:p>
        </w:tc>
        <w:tc>
          <w:tcPr>
            <w:tcW w:w="10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60" w:type="dxa"/>
            <w:vAlign w:val="bottom"/>
            <w:shd w:val="clear" w:color="auto" w:fill="E5E5E5"/>
          </w:tcPr>
          <w:p>
            <w:pPr>
              <w:spacing w:after="0"/>
              <w:rPr>
                <w:sz w:val="23"/>
                <w:szCs w:val="23"/>
                <w:color w:val="auto"/>
              </w:rPr>
            </w:pPr>
          </w:p>
        </w:tc>
        <w:tc>
          <w:tcPr>
            <w:tcW w:w="2160" w:type="dxa"/>
            <w:vAlign w:val="bottom"/>
            <w:shd w:val="clear" w:color="auto" w:fill="E5E5E5"/>
          </w:tcPr>
          <w:p>
            <w:pPr>
              <w:spacing w:after="0"/>
              <w:rPr>
                <w:sz w:val="23"/>
                <w:szCs w:val="23"/>
                <w:color w:val="auto"/>
              </w:rPr>
            </w:pPr>
          </w:p>
        </w:tc>
        <w:tc>
          <w:tcPr>
            <w:tcW w:w="140" w:type="dxa"/>
            <w:vAlign w:val="bottom"/>
            <w:tcBorders>
              <w:right w:val="single" w:sz="8" w:color="auto"/>
            </w:tcBorders>
            <w:shd w:val="clear" w:color="auto" w:fill="E5E5E5"/>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 Each executive officer’s individual</w:t>
            </w:r>
          </w:p>
        </w:tc>
        <w:tc>
          <w:tcPr>
            <w:tcW w:w="100" w:type="dxa"/>
            <w:vAlign w:val="bottom"/>
            <w:tcBorders>
              <w:right w:val="single" w:sz="8" w:color="auto"/>
            </w:tcBorders>
            <w:shd w:val="clear" w:color="auto" w:fill="E5E5E5"/>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32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16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performance can modify the amount</w:t>
            </w:r>
          </w:p>
        </w:tc>
        <w:tc>
          <w:tcPr>
            <w:tcW w:w="10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1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received up or down.</w:t>
            </w:r>
          </w:p>
        </w:tc>
        <w:tc>
          <w:tcPr>
            <w:tcW w:w="10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60" w:type="dxa"/>
            <w:vAlign w:val="bottom"/>
            <w:shd w:val="clear" w:color="auto" w:fill="E5E5E5"/>
          </w:tcPr>
          <w:p>
            <w:pPr>
              <w:spacing w:after="0"/>
              <w:rPr>
                <w:sz w:val="23"/>
                <w:szCs w:val="23"/>
                <w:color w:val="auto"/>
              </w:rPr>
            </w:pPr>
          </w:p>
        </w:tc>
        <w:tc>
          <w:tcPr>
            <w:tcW w:w="2160" w:type="dxa"/>
            <w:vAlign w:val="bottom"/>
            <w:shd w:val="clear" w:color="auto" w:fill="E5E5E5"/>
          </w:tcPr>
          <w:p>
            <w:pPr>
              <w:spacing w:after="0"/>
              <w:rPr>
                <w:sz w:val="23"/>
                <w:szCs w:val="23"/>
                <w:color w:val="auto"/>
              </w:rPr>
            </w:pPr>
          </w:p>
        </w:tc>
        <w:tc>
          <w:tcPr>
            <w:tcW w:w="140" w:type="dxa"/>
            <w:vAlign w:val="bottom"/>
            <w:tcBorders>
              <w:right w:val="single" w:sz="8" w:color="auto"/>
            </w:tcBorders>
            <w:shd w:val="clear" w:color="auto" w:fill="E5E5E5"/>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 Bonus payments are subject to certain</w:t>
            </w:r>
          </w:p>
        </w:tc>
        <w:tc>
          <w:tcPr>
            <w:tcW w:w="100" w:type="dxa"/>
            <w:vAlign w:val="bottom"/>
            <w:tcBorders>
              <w:right w:val="single" w:sz="8" w:color="auto"/>
            </w:tcBorders>
            <w:shd w:val="clear" w:color="auto" w:fill="E5E5E5"/>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32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220"/>
              <w:spacing w:after="0" w:line="175" w:lineRule="exact"/>
              <w:rPr>
                <w:sz w:val="20"/>
                <w:szCs w:val="20"/>
                <w:color w:val="auto"/>
              </w:rPr>
            </w:pPr>
            <w:r>
              <w:rPr>
                <w:rFonts w:ascii="Arial" w:cs="Arial" w:eastAsia="Arial" w:hAnsi="Arial"/>
                <w:sz w:val="16"/>
                <w:szCs w:val="16"/>
                <w:color w:val="auto"/>
              </w:rPr>
              <w:t>caps, including a maximum Company</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60" w:type="dxa"/>
            <w:vAlign w:val="bottom"/>
          </w:tcPr>
          <w:p>
            <w:pPr>
              <w:spacing w:after="0"/>
              <w:rPr>
                <w:sz w:val="23"/>
                <w:szCs w:val="23"/>
                <w:color w:val="auto"/>
              </w:rPr>
            </w:pPr>
          </w:p>
        </w:tc>
        <w:tc>
          <w:tcPr>
            <w:tcW w:w="60" w:type="dxa"/>
            <w:vAlign w:val="bottom"/>
            <w:tcBorders>
              <w:bottom w:val="single" w:sz="8" w:color="E5E5E5"/>
            </w:tcBorders>
            <w:shd w:val="clear" w:color="auto" w:fill="E5E5E5"/>
          </w:tcPr>
          <w:p>
            <w:pPr>
              <w:spacing w:after="0"/>
              <w:rPr>
                <w:sz w:val="23"/>
                <w:szCs w:val="23"/>
                <w:color w:val="auto"/>
              </w:rPr>
            </w:pPr>
          </w:p>
        </w:tc>
        <w:tc>
          <w:tcPr>
            <w:tcW w:w="2160" w:type="dxa"/>
            <w:vAlign w:val="bottom"/>
            <w:tcBorders>
              <w:bottom w:val="single" w:sz="8" w:color="E5E5E5"/>
            </w:tcBorders>
            <w:shd w:val="clear" w:color="auto" w:fill="E5E5E5"/>
          </w:tcPr>
          <w:p>
            <w:pPr>
              <w:spacing w:after="0"/>
              <w:rPr>
                <w:sz w:val="23"/>
                <w:szCs w:val="23"/>
                <w:color w:val="auto"/>
              </w:rPr>
            </w:pPr>
          </w:p>
        </w:tc>
        <w:tc>
          <w:tcPr>
            <w:tcW w:w="140" w:type="dxa"/>
            <w:vAlign w:val="bottom"/>
            <w:tcBorders>
              <w:bottom w:val="single" w:sz="8" w:color="E5E5E5"/>
              <w:right w:val="single" w:sz="8" w:color="auto"/>
            </w:tcBorders>
            <w:shd w:val="clear" w:color="auto" w:fill="E5E5E5"/>
          </w:tcPr>
          <w:p>
            <w:pPr>
              <w:spacing w:after="0"/>
              <w:rPr>
                <w:sz w:val="23"/>
                <w:szCs w:val="23"/>
                <w:color w:val="auto"/>
              </w:rPr>
            </w:pPr>
          </w:p>
        </w:tc>
        <w:tc>
          <w:tcPr>
            <w:tcW w:w="140" w:type="dxa"/>
            <w:vAlign w:val="bottom"/>
            <w:tcBorders>
              <w:bottom w:val="single" w:sz="8" w:color="E5E5E5"/>
            </w:tcBorders>
            <w:shd w:val="clear" w:color="auto" w:fill="E5E5E5"/>
          </w:tcPr>
          <w:p>
            <w:pPr>
              <w:spacing w:after="0"/>
              <w:rPr>
                <w:sz w:val="23"/>
                <w:szCs w:val="23"/>
                <w:color w:val="auto"/>
              </w:rPr>
            </w:pPr>
          </w:p>
        </w:tc>
        <w:tc>
          <w:tcPr>
            <w:tcW w:w="328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performance multiplier of 200%.</w:t>
            </w:r>
          </w:p>
        </w:tc>
        <w:tc>
          <w:tcPr>
            <w:tcW w:w="100" w:type="dxa"/>
            <w:vAlign w:val="bottom"/>
            <w:tcBorders>
              <w:bottom w:val="single" w:sz="8" w:color="E5E5E5"/>
              <w:right w:val="single" w:sz="8" w:color="auto"/>
            </w:tcBorders>
            <w:shd w:val="clear" w:color="auto" w:fill="E5E5E5"/>
          </w:tcPr>
          <w:p>
            <w:pPr>
              <w:spacing w:after="0"/>
              <w:rPr>
                <w:sz w:val="23"/>
                <w:szCs w:val="23"/>
                <w:color w:val="auto"/>
              </w:rPr>
            </w:pPr>
          </w:p>
        </w:tc>
        <w:tc>
          <w:tcPr>
            <w:tcW w:w="140" w:type="dxa"/>
            <w:vAlign w:val="bottom"/>
            <w:tcBorders>
              <w:bottom w:val="single" w:sz="8" w:color="E5E5E5"/>
            </w:tcBorders>
            <w:shd w:val="clear" w:color="auto" w:fill="E5E5E5"/>
          </w:tcPr>
          <w:p>
            <w:pPr>
              <w:spacing w:after="0"/>
              <w:rPr>
                <w:sz w:val="23"/>
                <w:szCs w:val="23"/>
                <w:color w:val="auto"/>
              </w:rPr>
            </w:pPr>
          </w:p>
        </w:tc>
        <w:tc>
          <w:tcPr>
            <w:tcW w:w="3260" w:type="dxa"/>
            <w:vAlign w:val="bottom"/>
            <w:tcBorders>
              <w:bottom w:val="single" w:sz="8" w:color="E5E5E5"/>
            </w:tcBorders>
            <w:shd w:val="clear" w:color="auto" w:fill="E5E5E5"/>
          </w:tcPr>
          <w:p>
            <w:pPr>
              <w:spacing w:after="0"/>
              <w:rPr>
                <w:sz w:val="23"/>
                <w:szCs w:val="23"/>
                <w:color w:val="auto"/>
              </w:rPr>
            </w:pPr>
          </w:p>
        </w:tc>
        <w:tc>
          <w:tcPr>
            <w:tcW w:w="120" w:type="dxa"/>
            <w:vAlign w:val="bottom"/>
            <w:tcBorders>
              <w:bottom w:val="single" w:sz="8" w:color="E5E5E5"/>
            </w:tcBorders>
            <w:shd w:val="clear" w:color="auto" w:fill="E5E5E5"/>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Long-term incentive</w:t>
            </w:r>
          </w:p>
        </w:tc>
        <w:tc>
          <w:tcPr>
            <w:tcW w:w="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32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No annual long-term incentive awards were</w:t>
            </w:r>
          </w:p>
        </w:tc>
        <w:tc>
          <w:tcPr>
            <w:tcW w:w="1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32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Align the interests of executive officers with</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compensation</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granted as part of the executive</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the interests of shareholders in long-term</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tcPr>
          <w:p>
            <w:pPr>
              <w:ind w:left="60"/>
              <w:spacing w:after="0" w:line="161" w:lineRule="exact"/>
              <w:rPr>
                <w:sz w:val="20"/>
                <w:szCs w:val="20"/>
                <w:color w:val="auto"/>
              </w:rPr>
            </w:pPr>
            <w:r>
              <w:rPr>
                <w:rFonts w:ascii="Arial" w:cs="Arial" w:eastAsia="Arial" w:hAnsi="Arial"/>
                <w:sz w:val="16"/>
                <w:szCs w:val="16"/>
                <w:color w:val="auto"/>
              </w:rPr>
              <w:t>compensation program for fiscal 2025</w:t>
            </w: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tcPr>
          <w:p>
            <w:pPr>
              <w:ind w:left="60"/>
              <w:spacing w:after="0" w:line="161" w:lineRule="exact"/>
              <w:rPr>
                <w:sz w:val="20"/>
                <w:szCs w:val="20"/>
                <w:color w:val="auto"/>
              </w:rPr>
            </w:pPr>
            <w:r>
              <w:rPr>
                <w:rFonts w:ascii="Arial" w:cs="Arial" w:eastAsia="Arial" w:hAnsi="Arial"/>
                <w:sz w:val="16"/>
                <w:szCs w:val="16"/>
                <w:color w:val="auto"/>
              </w:rPr>
              <w:t>stock price appreciation, reward executive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ind w:left="60"/>
              <w:spacing w:after="0" w:line="175" w:lineRule="exact"/>
              <w:rPr>
                <w:sz w:val="20"/>
                <w:szCs w:val="20"/>
                <w:color w:val="auto"/>
              </w:rPr>
            </w:pPr>
            <w:r>
              <w:rPr>
                <w:rFonts w:ascii="Arial" w:cs="Arial" w:eastAsia="Arial" w:hAnsi="Arial"/>
                <w:sz w:val="16"/>
                <w:szCs w:val="16"/>
                <w:color w:val="auto"/>
              </w:rPr>
              <w:t>because the equity awards granted in</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ind w:left="60"/>
              <w:spacing w:after="0" w:line="175" w:lineRule="exact"/>
              <w:rPr>
                <w:sz w:val="20"/>
                <w:szCs w:val="20"/>
                <w:color w:val="auto"/>
              </w:rPr>
            </w:pPr>
            <w:r>
              <w:rPr>
                <w:rFonts w:ascii="Arial" w:cs="Arial" w:eastAsia="Arial" w:hAnsi="Arial"/>
                <w:sz w:val="16"/>
                <w:szCs w:val="16"/>
                <w:color w:val="auto"/>
              </w:rPr>
              <w:t>officers for the achievement of a multi-year</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ind w:left="60"/>
              <w:spacing w:after="0" w:line="175" w:lineRule="exact"/>
              <w:rPr>
                <w:sz w:val="20"/>
                <w:szCs w:val="20"/>
                <w:color w:val="auto"/>
              </w:rPr>
            </w:pPr>
            <w:r>
              <w:rPr>
                <w:rFonts w:ascii="Arial" w:cs="Arial" w:eastAsia="Arial" w:hAnsi="Arial"/>
                <w:sz w:val="16"/>
                <w:szCs w:val="16"/>
                <w:color w:val="auto"/>
              </w:rPr>
              <w:t>February 2024 to the Company’s then-</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ind w:left="60"/>
              <w:spacing w:after="0" w:line="175" w:lineRule="exact"/>
              <w:rPr>
                <w:sz w:val="20"/>
                <w:szCs w:val="20"/>
                <w:color w:val="auto"/>
              </w:rPr>
            </w:pPr>
            <w:r>
              <w:rPr>
                <w:rFonts w:ascii="Arial" w:cs="Arial" w:eastAsia="Arial" w:hAnsi="Arial"/>
                <w:sz w:val="16"/>
                <w:szCs w:val="16"/>
                <w:color w:val="auto"/>
              </w:rPr>
              <w:t>performance objective that reflects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serving executive officers were intended to</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shareholder value creation and promote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cover fiscal 2025. These included:</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6"/>
                <w:szCs w:val="16"/>
                <w:color w:val="auto"/>
              </w:rPr>
              <w:t>retention.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 PSUs with vesting provisions based on our</w:t>
            </w:r>
          </w:p>
        </w:tc>
        <w:tc>
          <w:tcPr>
            <w:tcW w:w="1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ind w:left="220"/>
              <w:spacing w:after="0" w:line="175" w:lineRule="exact"/>
              <w:rPr>
                <w:sz w:val="20"/>
                <w:szCs w:val="20"/>
                <w:color w:val="auto"/>
              </w:rPr>
            </w:pPr>
            <w:r>
              <w:rPr>
                <w:rFonts w:ascii="Arial" w:cs="Arial" w:eastAsia="Arial" w:hAnsi="Arial"/>
                <w:sz w:val="16"/>
                <w:szCs w:val="16"/>
                <w:color w:val="auto"/>
              </w:rPr>
              <w:t>attainment of specified metrics over a</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6"/>
                <w:szCs w:val="16"/>
                <w:color w:val="auto"/>
              </w:rPr>
              <w:t>three-year performance period; and</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 RSUs scheduled to vest in equal</w:t>
            </w:r>
          </w:p>
        </w:tc>
        <w:tc>
          <w:tcPr>
            <w:tcW w:w="1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ind w:left="220"/>
              <w:spacing w:after="0" w:line="175" w:lineRule="exact"/>
              <w:rPr>
                <w:sz w:val="20"/>
                <w:szCs w:val="20"/>
                <w:color w:val="auto"/>
              </w:rPr>
            </w:pPr>
            <w:r>
              <w:rPr>
                <w:rFonts w:ascii="Arial" w:cs="Arial" w:eastAsia="Arial" w:hAnsi="Arial"/>
                <w:sz w:val="16"/>
                <w:szCs w:val="16"/>
                <w:color w:val="auto"/>
              </w:rPr>
              <w:t>installments on each of January 1, 2025,</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6"/>
                <w:szCs w:val="16"/>
                <w:color w:val="auto"/>
              </w:rPr>
              <w:t>2026 and 2027.</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As further described below, the PSUs</w:t>
            </w:r>
          </w:p>
        </w:tc>
        <w:tc>
          <w:tcPr>
            <w:tcW w:w="1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granted in 2024 were converted into time-</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ind w:left="60"/>
              <w:spacing w:after="0" w:line="175" w:lineRule="exact"/>
              <w:rPr>
                <w:sz w:val="20"/>
                <w:szCs w:val="20"/>
                <w:color w:val="auto"/>
              </w:rPr>
            </w:pPr>
            <w:r>
              <w:rPr>
                <w:rFonts w:ascii="Arial" w:cs="Arial" w:eastAsia="Arial" w:hAnsi="Arial"/>
                <w:sz w:val="16"/>
                <w:szCs w:val="16"/>
                <w:color w:val="auto"/>
                <w:w w:val="99"/>
              </w:rPr>
              <w:t>vesting awards in 2025 in connection with the</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ind w:left="60"/>
              <w:spacing w:after="0" w:line="175" w:lineRule="exact"/>
              <w:rPr>
                <w:sz w:val="20"/>
                <w:szCs w:val="20"/>
                <w:color w:val="auto"/>
              </w:rPr>
            </w:pPr>
            <w:r>
              <w:rPr>
                <w:rFonts w:ascii="Arial" w:cs="Arial" w:eastAsia="Arial" w:hAnsi="Arial"/>
                <w:sz w:val="16"/>
                <w:szCs w:val="16"/>
                <w:color w:val="auto"/>
              </w:rPr>
              <w:t>Business Combination (as converted, the</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Arial" w:cs="Arial" w:eastAsia="Arial" w:hAnsi="Arial"/>
                <w:sz w:val="16"/>
                <w:szCs w:val="16"/>
                <w:color w:val="auto"/>
              </w:rPr>
              <w:t>“Converted PSUs”).</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2160" w:type="dxa"/>
            <w:vAlign w:val="bottom"/>
            <w:shd w:val="clear" w:color="auto" w:fill="E5E5E5"/>
          </w:tcPr>
          <w:p>
            <w:pPr>
              <w:ind w:left="80"/>
              <w:spacing w:after="0" w:line="196" w:lineRule="exact"/>
              <w:rPr>
                <w:sz w:val="20"/>
                <w:szCs w:val="20"/>
                <w:color w:val="auto"/>
              </w:rPr>
            </w:pPr>
            <w:r>
              <w:rPr>
                <w:rFonts w:ascii="Arial" w:cs="Arial" w:eastAsia="Arial" w:hAnsi="Arial"/>
                <w:sz w:val="18"/>
                <w:szCs w:val="18"/>
                <w:b w:val="1"/>
                <w:bCs w:val="1"/>
                <w:color w:val="auto"/>
              </w:rPr>
              <w:t>Transaction Incentive</w:t>
            </w:r>
          </w:p>
        </w:tc>
        <w:tc>
          <w:tcPr>
            <w:tcW w:w="140" w:type="dxa"/>
            <w:vAlign w:val="bottom"/>
            <w:tcBorders>
              <w:right w:val="single" w:sz="8" w:color="auto"/>
            </w:tcBorders>
            <w:shd w:val="clear" w:color="auto" w:fill="E5E5E5"/>
          </w:tcPr>
          <w:p>
            <w:pPr>
              <w:ind w:lef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In February 2024, the Company adopted a</w:t>
            </w:r>
          </w:p>
        </w:tc>
        <w:tc>
          <w:tcPr>
            <w:tcW w:w="100" w:type="dxa"/>
            <w:vAlign w:val="bottom"/>
            <w:tcBorders>
              <w:right w:val="single" w:sz="8" w:color="auto"/>
            </w:tcBorders>
            <w:shd w:val="clear" w:color="auto" w:fill="E5E5E5"/>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3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Designed to provide an incentive to retain</w:t>
            </w:r>
          </w:p>
        </w:tc>
        <w:tc>
          <w:tcPr>
            <w:tcW w:w="12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160" w:type="dxa"/>
            <w:vAlign w:val="bottom"/>
            <w:shd w:val="clear" w:color="auto" w:fill="E5E5E5"/>
          </w:tcPr>
          <w:p>
            <w:pPr>
              <w:ind w:left="80"/>
              <w:spacing w:after="0" w:line="191" w:lineRule="exact"/>
              <w:rPr>
                <w:sz w:val="20"/>
                <w:szCs w:val="20"/>
                <w:color w:val="auto"/>
              </w:rPr>
            </w:pPr>
            <w:r>
              <w:rPr>
                <w:rFonts w:ascii="Arial" w:cs="Arial" w:eastAsia="Arial" w:hAnsi="Arial"/>
                <w:sz w:val="18"/>
                <w:szCs w:val="18"/>
                <w:b w:val="1"/>
                <w:bCs w:val="1"/>
                <w:color w:val="auto"/>
              </w:rPr>
              <w:t>Plan</w:t>
            </w:r>
          </w:p>
        </w:tc>
        <w:tc>
          <w:tcPr>
            <w:tcW w:w="14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Transaction Incentive Plan, applicable to its</w:t>
            </w:r>
          </w:p>
        </w:tc>
        <w:tc>
          <w:tcPr>
            <w:tcW w:w="10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officers through and following the</w:t>
            </w:r>
          </w:p>
        </w:tc>
        <w:tc>
          <w:tcPr>
            <w:tcW w:w="12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3" w:lineRule="exact"/>
              <w:rPr>
                <w:sz w:val="20"/>
                <w:szCs w:val="20"/>
                <w:color w:val="auto"/>
              </w:rPr>
            </w:pPr>
            <w:r>
              <w:rPr>
                <w:rFonts w:ascii="Arial" w:cs="Arial" w:eastAsia="Arial" w:hAnsi="Arial"/>
                <w:sz w:val="16"/>
                <w:szCs w:val="16"/>
                <w:color w:val="auto"/>
              </w:rPr>
              <w:t>then-serving executive officers, for cash</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ind w:left="60"/>
              <w:spacing w:after="0" w:line="173" w:lineRule="exact"/>
              <w:rPr>
                <w:sz w:val="20"/>
                <w:szCs w:val="20"/>
                <w:color w:val="auto"/>
              </w:rPr>
            </w:pPr>
            <w:r>
              <w:rPr>
                <w:rFonts w:ascii="Arial" w:cs="Arial" w:eastAsia="Arial" w:hAnsi="Arial"/>
                <w:sz w:val="16"/>
                <w:szCs w:val="16"/>
                <w:color w:val="auto"/>
              </w:rPr>
              <w:t>closing of certain strategic transactions and</w:t>
            </w: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bonus payments earned based on the</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dispositions and to align incentives of</w:t>
            </w: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amount of proceeds received in connection</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w w:val="99"/>
              </w:rPr>
              <w:t>executive officers with the Board acting in the</w:t>
            </w: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16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with the consummation of qualifying strategic</w:t>
            </w:r>
          </w:p>
        </w:tc>
        <w:tc>
          <w:tcPr>
            <w:tcW w:w="10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best interests of the Company.</w:t>
            </w:r>
          </w:p>
        </w:tc>
        <w:tc>
          <w:tcPr>
            <w:tcW w:w="12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transactions and dispositions (each, a</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1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“Qualifying Transaction”).</w:t>
            </w:r>
          </w:p>
        </w:tc>
        <w:tc>
          <w:tcPr>
            <w:tcW w:w="10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60" w:type="dxa"/>
            <w:vAlign w:val="bottom"/>
            <w:shd w:val="clear" w:color="auto" w:fill="E5E5E5"/>
          </w:tcPr>
          <w:p>
            <w:pPr>
              <w:spacing w:after="0"/>
              <w:rPr>
                <w:sz w:val="22"/>
                <w:szCs w:val="22"/>
                <w:color w:val="auto"/>
              </w:rPr>
            </w:pPr>
          </w:p>
        </w:tc>
        <w:tc>
          <w:tcPr>
            <w:tcW w:w="2160" w:type="dxa"/>
            <w:vAlign w:val="bottom"/>
            <w:shd w:val="clear" w:color="auto" w:fill="E5E5E5"/>
          </w:tcPr>
          <w:p>
            <w:pPr>
              <w:spacing w:after="0"/>
              <w:rPr>
                <w:sz w:val="22"/>
                <w:szCs w:val="22"/>
                <w:color w:val="auto"/>
              </w:rPr>
            </w:pPr>
          </w:p>
        </w:tc>
        <w:tc>
          <w:tcPr>
            <w:tcW w:w="140" w:type="dxa"/>
            <w:vAlign w:val="bottom"/>
            <w:tcBorders>
              <w:right w:val="single" w:sz="8" w:color="auto"/>
            </w:tcBorders>
            <w:shd w:val="clear" w:color="auto" w:fill="E5E5E5"/>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The aggregate value of bonuses payable</w:t>
            </w:r>
          </w:p>
        </w:tc>
        <w:tc>
          <w:tcPr>
            <w:tcW w:w="100" w:type="dxa"/>
            <w:vAlign w:val="bottom"/>
            <w:tcBorders>
              <w:right w:val="single" w:sz="8" w:color="auto"/>
            </w:tcBorders>
            <w:shd w:val="clear" w:color="auto" w:fill="E5E5E5"/>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32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with respect to a Qualifying Transaction</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would not exceed 3% of the proceeds</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16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received by, or the value attributed to, the</w:t>
            </w:r>
          </w:p>
        </w:tc>
        <w:tc>
          <w:tcPr>
            <w:tcW w:w="10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Company in connection with such Qualifying</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1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Transaction.</w:t>
            </w:r>
          </w:p>
        </w:tc>
        <w:tc>
          <w:tcPr>
            <w:tcW w:w="100" w:type="dxa"/>
            <w:vAlign w:val="bottom"/>
            <w:tcBorders>
              <w:right w:val="single" w:sz="8" w:color="auto"/>
            </w:tcBorders>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60" w:type="dxa"/>
            <w:vAlign w:val="bottom"/>
            <w:shd w:val="clear" w:color="auto" w:fill="E5E5E5"/>
          </w:tcPr>
          <w:p>
            <w:pPr>
              <w:spacing w:after="0"/>
              <w:rPr>
                <w:sz w:val="22"/>
                <w:szCs w:val="22"/>
                <w:color w:val="auto"/>
              </w:rPr>
            </w:pPr>
          </w:p>
        </w:tc>
        <w:tc>
          <w:tcPr>
            <w:tcW w:w="2160" w:type="dxa"/>
            <w:vAlign w:val="bottom"/>
            <w:shd w:val="clear" w:color="auto" w:fill="E5E5E5"/>
          </w:tcPr>
          <w:p>
            <w:pPr>
              <w:spacing w:after="0"/>
              <w:rPr>
                <w:sz w:val="22"/>
                <w:szCs w:val="22"/>
                <w:color w:val="auto"/>
              </w:rPr>
            </w:pPr>
          </w:p>
        </w:tc>
        <w:tc>
          <w:tcPr>
            <w:tcW w:w="140" w:type="dxa"/>
            <w:vAlign w:val="bottom"/>
            <w:tcBorders>
              <w:right w:val="single" w:sz="8" w:color="auto"/>
            </w:tcBorders>
            <w:shd w:val="clear" w:color="auto" w:fill="E5E5E5"/>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As further described below, the Therakos</w:t>
            </w:r>
          </w:p>
        </w:tc>
        <w:tc>
          <w:tcPr>
            <w:tcW w:w="100" w:type="dxa"/>
            <w:vAlign w:val="bottom"/>
            <w:tcBorders>
              <w:right w:val="single" w:sz="8" w:color="auto"/>
            </w:tcBorders>
            <w:shd w:val="clear" w:color="auto" w:fill="E5E5E5"/>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32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Divestiture and the Business Combination</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each qualified as a Qualifying Transaction,</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160" w:type="dxa"/>
            <w:vAlign w:val="bottom"/>
            <w:shd w:val="clear" w:color="auto" w:fill="E5E5E5"/>
          </w:tcPr>
          <w:p>
            <w:pPr>
              <w:spacing w:after="0"/>
              <w:rPr>
                <w:sz w:val="16"/>
                <w:szCs w:val="16"/>
                <w:color w:val="auto"/>
              </w:rPr>
            </w:pPr>
          </w:p>
        </w:tc>
        <w:tc>
          <w:tcPr>
            <w:tcW w:w="14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and the Transaction Incentive Plan</w:t>
            </w:r>
          </w:p>
        </w:tc>
        <w:tc>
          <w:tcPr>
            <w:tcW w:w="100" w:type="dxa"/>
            <w:vAlign w:val="bottom"/>
            <w:tcBorders>
              <w:right w:val="single" w:sz="8" w:color="auto"/>
            </w:tcBorders>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14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8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terminated in accordance with its terms as a</w:t>
            </w:r>
          </w:p>
        </w:tc>
        <w:tc>
          <w:tcPr>
            <w:tcW w:w="100" w:type="dxa"/>
            <w:vAlign w:val="bottom"/>
            <w:tcBorders>
              <w:right w:val="single" w:sz="8" w:color="auto"/>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60" w:type="dxa"/>
            <w:vAlign w:val="bottom"/>
          </w:tcPr>
          <w:p>
            <w:pPr>
              <w:spacing w:after="0"/>
              <w:rPr>
                <w:sz w:val="21"/>
                <w:szCs w:val="21"/>
                <w:color w:val="auto"/>
              </w:rPr>
            </w:pPr>
          </w:p>
        </w:tc>
        <w:tc>
          <w:tcPr>
            <w:tcW w:w="60" w:type="dxa"/>
            <w:vAlign w:val="bottom"/>
            <w:tcBorders>
              <w:bottom w:val="single" w:sz="8" w:color="E5E5E5"/>
            </w:tcBorders>
            <w:shd w:val="clear" w:color="auto" w:fill="E5E5E5"/>
          </w:tcPr>
          <w:p>
            <w:pPr>
              <w:spacing w:after="0"/>
              <w:rPr>
                <w:sz w:val="21"/>
                <w:szCs w:val="21"/>
                <w:color w:val="auto"/>
              </w:rPr>
            </w:pPr>
          </w:p>
        </w:tc>
        <w:tc>
          <w:tcPr>
            <w:tcW w:w="216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E5E5E5"/>
              <w:right w:val="single" w:sz="8" w:color="auto"/>
            </w:tcBorders>
            <w:shd w:val="clear" w:color="auto" w:fill="E5E5E5"/>
          </w:tcPr>
          <w:p>
            <w:pPr>
              <w:spacing w:after="0"/>
              <w:rPr>
                <w:sz w:val="21"/>
                <w:szCs w:val="21"/>
                <w:color w:val="auto"/>
              </w:rPr>
            </w:pPr>
          </w:p>
        </w:tc>
        <w:tc>
          <w:tcPr>
            <w:tcW w:w="140" w:type="dxa"/>
            <w:vAlign w:val="bottom"/>
            <w:tcBorders>
              <w:bottom w:val="single" w:sz="8" w:color="E5E5E5"/>
            </w:tcBorders>
            <w:shd w:val="clear" w:color="auto" w:fill="E5E5E5"/>
          </w:tcPr>
          <w:p>
            <w:pPr>
              <w:spacing w:after="0"/>
              <w:rPr>
                <w:sz w:val="21"/>
                <w:szCs w:val="21"/>
                <w:color w:val="auto"/>
              </w:rPr>
            </w:pPr>
          </w:p>
        </w:tc>
        <w:tc>
          <w:tcPr>
            <w:tcW w:w="3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result of the Business Combination.</w:t>
            </w:r>
          </w:p>
        </w:tc>
        <w:tc>
          <w:tcPr>
            <w:tcW w:w="100" w:type="dxa"/>
            <w:vAlign w:val="bottom"/>
            <w:tcBorders>
              <w:bottom w:val="single" w:sz="8" w:color="E5E5E5"/>
              <w:right w:val="single" w:sz="8" w:color="auto"/>
            </w:tcBorders>
            <w:shd w:val="clear" w:color="auto" w:fill="E5E5E5"/>
          </w:tcPr>
          <w:p>
            <w:pPr>
              <w:spacing w:after="0"/>
              <w:rPr>
                <w:sz w:val="21"/>
                <w:szCs w:val="21"/>
                <w:color w:val="auto"/>
              </w:rPr>
            </w:pPr>
          </w:p>
        </w:tc>
        <w:tc>
          <w:tcPr>
            <w:tcW w:w="140" w:type="dxa"/>
            <w:vAlign w:val="bottom"/>
            <w:tcBorders>
              <w:bottom w:val="single" w:sz="8" w:color="E5E5E5"/>
            </w:tcBorders>
            <w:shd w:val="clear" w:color="auto" w:fill="E5E5E5"/>
          </w:tcPr>
          <w:p>
            <w:pPr>
              <w:spacing w:after="0"/>
              <w:rPr>
                <w:sz w:val="21"/>
                <w:szCs w:val="21"/>
                <w:color w:val="auto"/>
              </w:rPr>
            </w:pPr>
          </w:p>
        </w:tc>
        <w:tc>
          <w:tcPr>
            <w:tcW w:w="3260" w:type="dxa"/>
            <w:vAlign w:val="bottom"/>
            <w:tcBorders>
              <w:bottom w:val="single" w:sz="8" w:color="E5E5E5"/>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3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60" w:type="dxa"/>
            <w:vAlign w:val="bottom"/>
          </w:tcPr>
          <w:p>
            <w:pPr>
              <w:spacing w:after="0"/>
              <w:rPr>
                <w:sz w:val="24"/>
                <w:szCs w:val="24"/>
                <w:color w:val="auto"/>
              </w:rPr>
            </w:pPr>
          </w:p>
        </w:tc>
        <w:tc>
          <w:tcPr>
            <w:tcW w:w="60" w:type="dxa"/>
            <w:vAlign w:val="bottom"/>
          </w:tcPr>
          <w:p>
            <w:pPr>
              <w:ind w:left="20"/>
              <w:spacing w:after="0"/>
              <w:rPr>
                <w:sz w:val="20"/>
                <w:szCs w:val="20"/>
                <w:color w:val="auto"/>
              </w:rPr>
            </w:pPr>
            <w:r>
              <w:rPr>
                <w:rFonts w:ascii="Arial" w:cs="Arial" w:eastAsia="Arial" w:hAnsi="Arial"/>
                <w:sz w:val="13"/>
                <w:szCs w:val="13"/>
                <w:color w:val="323232"/>
              </w:rPr>
              <w:t>​</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ind w:left="2080"/>
              <w:spacing w:after="0"/>
              <w:rPr>
                <w:sz w:val="20"/>
                <w:szCs w:val="20"/>
                <w:color w:val="auto"/>
              </w:rPr>
            </w:pPr>
            <w:r>
              <w:rPr>
                <w:rFonts w:ascii="Arial" w:cs="Arial" w:eastAsia="Arial" w:hAnsi="Arial"/>
                <w:sz w:val="13"/>
                <w:szCs w:val="13"/>
                <w:color w:val="323232"/>
              </w:rPr>
              <w:t>​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3"/>
          </w:tcPr>
          <w:p>
            <w:pPr>
              <w:ind w:left="1720"/>
              <w:spacing w:after="0"/>
              <w:rPr>
                <w:sz w:val="20"/>
                <w:szCs w:val="20"/>
                <w:color w:val="auto"/>
              </w:rPr>
            </w:pPr>
            <w:r>
              <w:rPr>
                <w:rFonts w:ascii="Arial" w:cs="Arial" w:eastAsia="Arial" w:hAnsi="Arial"/>
                <w:sz w:val="13"/>
                <w:szCs w:val="13"/>
                <w:color w:val="323232"/>
              </w:rPr>
              <w:t>2026 Proxy Statement  |  23</w:t>
            </w:r>
            <w:r>
              <w:rPr>
                <w:rFonts w:ascii="Arial" w:cs="Arial" w:eastAsia="Arial" w:hAnsi="Arial"/>
                <w:sz w:val="26"/>
                <w:szCs w:val="26"/>
                <w:color w:val="323232"/>
                <w:vertAlign w:val="subscript"/>
              </w:rPr>
              <w:t>​</w:t>
            </w:r>
          </w:p>
        </w:tc>
        <w:tc>
          <w:tcPr>
            <w:tcW w:w="0" w:type="dxa"/>
            <w:vAlign w:val="bottom"/>
          </w:tcPr>
          <w:p>
            <w:pPr>
              <w:spacing w:after="0"/>
              <w:rPr>
                <w:sz w:val="1"/>
                <w:szCs w:val="1"/>
                <w:color w:val="auto"/>
              </w:rPr>
            </w:pPr>
          </w:p>
        </w:tc>
      </w:tr>
      <w:tr>
        <w:trPr>
          <w:trHeight w:val="383"/>
        </w:trPr>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-334010</wp:posOffset>
            </wp:positionV>
            <wp:extent cx="44577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Fiscal 2025 Compensation Decision-Making</w:t>
      </w:r>
    </w:p>
    <w:p>
      <w:pPr>
        <w:spacing w:after="0" w:line="112" w:lineRule="exact"/>
        <w:rPr>
          <w:sz w:val="20"/>
          <w:szCs w:val="20"/>
          <w:color w:val="auto"/>
        </w:rPr>
      </w:pPr>
    </w:p>
    <w:p>
      <w:pPr>
        <w:ind w:left="680" w:right="160"/>
        <w:spacing w:after="0" w:line="269" w:lineRule="auto"/>
        <w:rPr>
          <w:sz w:val="20"/>
          <w:szCs w:val="20"/>
          <w:color w:val="auto"/>
        </w:rPr>
      </w:pPr>
      <w:r>
        <w:rPr>
          <w:rFonts w:ascii="Arial" w:cs="Arial" w:eastAsia="Arial" w:hAnsi="Arial"/>
          <w:sz w:val="16"/>
          <w:szCs w:val="16"/>
          <w:color w:val="auto"/>
        </w:rPr>
        <w:t>The HRCC oversees the Company’s compensation programs and policies and determines compensation of our executive officers, other than the CEO for whom the HRCC recommends compensation for full Board determination. References to the HRCC with respect to decisions in fiscal 2025 described below reflect committee composition of Abbas Hussain (Chair), Katina Dorton, and Jon Zinman for the pre-merger portion of the year, and Katina Dorton (Chair), Leslie Donato, and Marc Yoskowitz for the post-merger portion of the year.</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Fiscal 2025 Executive Compensation</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Base Salary</w:t>
      </w:r>
    </w:p>
    <w:p>
      <w:pPr>
        <w:spacing w:after="0" w:line="122" w:lineRule="exact"/>
        <w:rPr>
          <w:sz w:val="20"/>
          <w:szCs w:val="20"/>
          <w:color w:val="auto"/>
        </w:rPr>
      </w:pPr>
    </w:p>
    <w:p>
      <w:pPr>
        <w:ind w:left="680" w:right="280"/>
        <w:spacing w:after="0" w:line="268" w:lineRule="auto"/>
        <w:rPr>
          <w:sz w:val="20"/>
          <w:szCs w:val="20"/>
          <w:color w:val="auto"/>
        </w:rPr>
      </w:pPr>
      <w:r>
        <w:rPr>
          <w:rFonts w:ascii="Arial" w:cs="Arial" w:eastAsia="Arial" w:hAnsi="Arial"/>
          <w:sz w:val="16"/>
          <w:szCs w:val="16"/>
          <w:color w:val="auto"/>
        </w:rPr>
        <w:t>In March 2025, the HRCC evaluated and approved increases to the base salaries of our NEOs, other than the CEO, and recommended to the Board an increase to the CEO’s base salary, which the Board approved in March 2025. The salary increases were based in part upon the recommendation of our CEO (or the HRCC in the case of the CEO) and the consideration of each NEO’s level of responsibility, skillset, and experience, in addition to the Company’s strategy, market data regarding base salary changes, and internal pay equity among the members of the executive team. Prior to this, Mr. Olafsson had not received a salary increase since his appointment as President and Chief Executive Officer in 2022.</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2025 NEO salary adjustments are summarized in the table below.</w:t>
      </w:r>
    </w:p>
    <w:p>
      <w:pPr>
        <w:spacing w:after="0" w:line="21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00514B"/>
        </w:rPr>
        <w:t>NEO Annual Base Salaries and Adjustments During Fiscal 2025</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4080" w:type="dxa"/>
            <w:vAlign w:val="bottom"/>
            <w:shd w:val="clear" w:color="auto" w:fill="B2EEDE"/>
          </w:tcPr>
          <w:p>
            <w:pPr>
              <w:spacing w:after="0"/>
              <w:rPr>
                <w:sz w:val="16"/>
                <w:szCs w:val="16"/>
                <w:color w:val="auto"/>
              </w:rPr>
            </w:pPr>
          </w:p>
        </w:tc>
        <w:tc>
          <w:tcPr>
            <w:tcW w:w="2720" w:type="dxa"/>
            <w:vAlign w:val="bottom"/>
            <w:shd w:val="clear" w:color="auto" w:fill="B2EEDE"/>
          </w:tcPr>
          <w:p>
            <w:pPr>
              <w:spacing w:after="0"/>
              <w:rPr>
                <w:sz w:val="16"/>
                <w:szCs w:val="16"/>
                <w:color w:val="auto"/>
              </w:rPr>
            </w:pPr>
          </w:p>
        </w:tc>
        <w:tc>
          <w:tcPr>
            <w:tcW w:w="1020" w:type="dxa"/>
            <w:vAlign w:val="bottom"/>
            <w:shd w:val="clear" w:color="auto" w:fill="B2EEDE"/>
          </w:tcPr>
          <w:p>
            <w:pPr>
              <w:ind w:left="60"/>
              <w:spacing w:after="0"/>
              <w:rPr>
                <w:sz w:val="20"/>
                <w:szCs w:val="20"/>
                <w:color w:val="auto"/>
              </w:rPr>
            </w:pPr>
            <w:r>
              <w:rPr>
                <w:rFonts w:ascii="Arial" w:cs="Arial" w:eastAsia="Arial" w:hAnsi="Arial"/>
                <w:sz w:val="14"/>
                <w:szCs w:val="14"/>
                <w:b w:val="1"/>
                <w:bCs w:val="1"/>
                <w:color w:val="auto"/>
              </w:rPr>
              <w:t>Initial</w:t>
            </w:r>
          </w:p>
        </w:tc>
        <w:tc>
          <w:tcPr>
            <w:tcW w:w="1000" w:type="dxa"/>
            <w:vAlign w:val="bottom"/>
            <w:shd w:val="clear" w:color="auto" w:fill="B2EEDE"/>
          </w:tcPr>
          <w:p>
            <w:pPr>
              <w:ind w:left="20"/>
              <w:spacing w:after="0"/>
              <w:rPr>
                <w:sz w:val="20"/>
                <w:szCs w:val="20"/>
                <w:color w:val="auto"/>
              </w:rPr>
            </w:pPr>
            <w:r>
              <w:rPr>
                <w:rFonts w:ascii="Arial" w:cs="Arial" w:eastAsia="Arial" w:hAnsi="Arial"/>
                <w:sz w:val="14"/>
                <w:szCs w:val="14"/>
                <w:b w:val="1"/>
                <w:bCs w:val="1"/>
                <w:color w:val="auto"/>
              </w:rPr>
              <w:t>Ending</w:t>
            </w:r>
          </w:p>
        </w:tc>
        <w:tc>
          <w:tcPr>
            <w:tcW w:w="580" w:type="dxa"/>
            <w:vAlign w:val="bottom"/>
            <w:shd w:val="clear" w:color="auto" w:fill="B2EEDE"/>
          </w:tcPr>
          <w:p>
            <w:pPr>
              <w:spacing w:after="0"/>
              <w:rPr>
                <w:sz w:val="16"/>
                <w:szCs w:val="16"/>
                <w:color w:val="auto"/>
              </w:rPr>
            </w:pPr>
          </w:p>
        </w:tc>
      </w:tr>
      <w:tr>
        <w:trPr>
          <w:trHeight w:val="225"/>
        </w:trPr>
        <w:tc>
          <w:tcPr>
            <w:tcW w:w="408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6"/>
                <w:szCs w:val="26"/>
                <w:b w:val="1"/>
                <w:bCs w:val="1"/>
                <w:color w:val="auto"/>
                <w:vertAlign w:val="superscript"/>
              </w:rPr>
              <w:t>​</w:t>
            </w:r>
          </w:p>
        </w:tc>
        <w:tc>
          <w:tcPr>
            <w:tcW w:w="2720" w:type="dxa"/>
            <w:vAlign w:val="bottom"/>
            <w:tcBorders>
              <w:bottom w:val="single" w:sz="8" w:color="auto"/>
            </w:tcBorders>
            <w:shd w:val="clear" w:color="auto" w:fill="B2EEDE"/>
          </w:tcPr>
          <w:p>
            <w:pPr>
              <w:ind w:left="2400"/>
              <w:spacing w:after="0"/>
              <w:rPr>
                <w:sz w:val="20"/>
                <w:szCs w:val="20"/>
                <w:color w:val="auto"/>
              </w:rPr>
            </w:pPr>
            <w:r>
              <w:rPr>
                <w:rFonts w:ascii="Arial" w:cs="Arial" w:eastAsia="Arial" w:hAnsi="Arial"/>
                <w:sz w:val="14"/>
                <w:szCs w:val="14"/>
                <w:b w:val="1"/>
                <w:bCs w:val="1"/>
                <w:color w:val="auto"/>
              </w:rPr>
              <w:t>​ ​</w:t>
            </w:r>
          </w:p>
        </w:tc>
        <w:tc>
          <w:tcPr>
            <w:tcW w:w="1020" w:type="dxa"/>
            <w:vAlign w:val="bottom"/>
            <w:tcBorders>
              <w:bottom w:val="single" w:sz="8" w:color="auto"/>
            </w:tcBorders>
            <w:shd w:val="clear" w:color="auto" w:fill="B2EEDE"/>
          </w:tcPr>
          <w:p>
            <w:pPr>
              <w:ind w:left="40"/>
              <w:spacing w:after="0" w:line="225"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26"/>
                <w:szCs w:val="26"/>
                <w:b w:val="1"/>
                <w:bCs w:val="1"/>
                <w:color w:val="auto"/>
                <w:vertAlign w:val="subscript"/>
              </w:rPr>
              <w:t>​ ​</w:t>
            </w:r>
          </w:p>
        </w:tc>
        <w:tc>
          <w:tcPr>
            <w:tcW w:w="1580" w:type="dxa"/>
            <w:vAlign w:val="bottom"/>
            <w:tcBorders>
              <w:bottom w:val="single" w:sz="8" w:color="auto"/>
            </w:tcBorders>
            <w:gridSpan w:val="2"/>
            <w:shd w:val="clear" w:color="auto" w:fill="B2EEDE"/>
          </w:tcPr>
          <w:p>
            <w:pPr>
              <w:jc w:val="right"/>
              <w:spacing w:after="0" w:line="225"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Change </w:t>
            </w:r>
            <w:r>
              <w:rPr>
                <w:rFonts w:ascii="Arial" w:cs="Arial" w:eastAsia="Arial" w:hAnsi="Arial"/>
                <w:sz w:val="26"/>
                <w:szCs w:val="26"/>
                <w:b w:val="1"/>
                <w:bCs w:val="1"/>
                <w:color w:val="auto"/>
                <w:vertAlign w:val="subscript"/>
              </w:rPr>
              <w:t>​</w:t>
            </w:r>
          </w:p>
        </w:tc>
      </w:tr>
      <w:tr>
        <w:trPr>
          <w:trHeight w:val="250"/>
        </w:trPr>
        <w:tc>
          <w:tcPr>
            <w:tcW w:w="40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Sigurdur O. Olafsson</w:t>
            </w:r>
          </w:p>
        </w:tc>
        <w:tc>
          <w:tcPr>
            <w:tcW w:w="4740" w:type="dxa"/>
            <w:vAlign w:val="bottom"/>
            <w:tcBorders>
              <w:bottom w:val="single" w:sz="8" w:color="auto"/>
            </w:tcBorders>
            <w:gridSpan w:val="3"/>
          </w:tcPr>
          <w:p>
            <w:pPr>
              <w:ind w:left="240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$1,100,000</w:t>
            </w:r>
            <w:r>
              <w:rPr>
                <w:rFonts w:ascii="Arial" w:cs="Arial" w:eastAsia="Arial" w:hAnsi="Arial"/>
                <w:sz w:val="28"/>
                <w:szCs w:val="28"/>
                <w:color w:val="auto"/>
                <w:vertAlign w:val="subscript"/>
              </w:rPr>
              <w:t>​​ ​​</w:t>
            </w:r>
            <w:r>
              <w:rPr>
                <w:rFonts w:ascii="Arial" w:cs="Arial" w:eastAsia="Arial" w:hAnsi="Arial"/>
                <w:sz w:val="15"/>
                <w:szCs w:val="15"/>
                <w:color w:val="auto"/>
              </w:rPr>
              <w:t>$1,200,000</w:t>
            </w:r>
            <w:r>
              <w:rPr>
                <w:rFonts w:ascii="Arial" w:cs="Arial" w:eastAsia="Arial" w:hAnsi="Arial"/>
                <w:sz w:val="28"/>
                <w:szCs w:val="28"/>
                <w:color w:val="auto"/>
                <w:vertAlign w:val="subscript"/>
              </w:rPr>
              <w:t>​​ ​</w:t>
            </w:r>
          </w:p>
        </w:tc>
        <w:tc>
          <w:tcPr>
            <w:tcW w:w="5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​9.1%</w:t>
            </w:r>
            <w:r>
              <w:rPr>
                <w:rFonts w:ascii="Arial" w:cs="Arial" w:eastAsia="Arial" w:hAnsi="Arial"/>
                <w:sz w:val="28"/>
                <w:szCs w:val="28"/>
                <w:color w:val="auto"/>
                <w:vertAlign w:val="subscript"/>
              </w:rPr>
              <w:t>​​</w:t>
            </w:r>
          </w:p>
        </w:tc>
      </w:tr>
      <w:tr>
        <w:trPr>
          <w:trHeight w:val="250"/>
        </w:trPr>
        <w:tc>
          <w:tcPr>
            <w:tcW w:w="408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Christiana Stamoulis</w:t>
            </w:r>
            <w:r>
              <w:rPr>
                <w:rFonts w:ascii="Arial" w:cs="Arial" w:eastAsia="Arial" w:hAnsi="Arial"/>
                <w:sz w:val="17"/>
                <w:szCs w:val="17"/>
                <w:color w:val="auto"/>
                <w:vertAlign w:val="superscript"/>
              </w:rPr>
              <w:t>(1)</w:t>
            </w:r>
          </w:p>
        </w:tc>
        <w:tc>
          <w:tcPr>
            <w:tcW w:w="2720" w:type="dxa"/>
            <w:vAlign w:val="bottom"/>
            <w:tcBorders>
              <w:bottom w:val="single" w:sz="8" w:color="auto"/>
            </w:tcBorders>
            <w:shd w:val="clear" w:color="auto" w:fill="E5E5E5"/>
          </w:tcPr>
          <w:p>
            <w:pPr>
              <w:ind w:left="240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20" w:type="dxa"/>
            <w:vAlign w:val="bottom"/>
            <w:tcBorders>
              <w:bottom w:val="single" w:sz="8" w:color="auto"/>
            </w:tcBorders>
            <w:shd w:val="clear" w:color="auto" w:fill="E5E5E5"/>
          </w:tcPr>
          <w:p>
            <w:pPr>
              <w:ind w:left="100"/>
              <w:spacing w:after="0" w:line="250" w:lineRule="exact"/>
              <w:rPr>
                <w:sz w:val="20"/>
                <w:szCs w:val="20"/>
                <w:color w:val="auto"/>
              </w:rPr>
            </w:pPr>
            <w:r>
              <w:rPr>
                <w:rFonts w:ascii="Arial" w:cs="Arial" w:eastAsia="Arial" w:hAnsi="Arial"/>
                <w:sz w:val="15"/>
                <w:szCs w:val="15"/>
                <w:color w:val="auto"/>
              </w:rPr>
              <w:t>875,000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100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875,000</w:t>
            </w:r>
            <w:r>
              <w:rPr>
                <w:rFonts w:ascii="Arial" w:cs="Arial" w:eastAsia="Arial" w:hAnsi="Arial"/>
                <w:sz w:val="28"/>
                <w:szCs w:val="28"/>
                <w:color w:val="auto"/>
                <w:vertAlign w:val="subscript"/>
              </w:rPr>
              <w:t>​​ ​</w:t>
            </w:r>
          </w:p>
        </w:tc>
        <w:tc>
          <w:tcPr>
            <w:tcW w:w="58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p>
        </w:tc>
      </w:tr>
      <w:tr>
        <w:trPr>
          <w:trHeight w:val="250"/>
        </w:trPr>
        <w:tc>
          <w:tcPr>
            <w:tcW w:w="40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Henriette Nielsen</w:t>
            </w:r>
          </w:p>
        </w:tc>
        <w:tc>
          <w:tcPr>
            <w:tcW w:w="2720" w:type="dxa"/>
            <w:vAlign w:val="bottom"/>
            <w:tcBorders>
              <w:bottom w:val="single" w:sz="8" w:color="auto"/>
            </w:tcBorders>
          </w:tcPr>
          <w:p>
            <w:pPr>
              <w:ind w:left="240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5"/>
                <w:szCs w:val="15"/>
                <w:color w:val="auto"/>
              </w:rPr>
              <w:t>641,700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100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664,160</w:t>
            </w:r>
            <w:r>
              <w:rPr>
                <w:rFonts w:ascii="Arial" w:cs="Arial" w:eastAsia="Arial" w:hAnsi="Arial"/>
                <w:sz w:val="28"/>
                <w:szCs w:val="28"/>
                <w:color w:val="auto"/>
                <w:vertAlign w:val="subscript"/>
              </w:rPr>
              <w:t>​​ ​</w:t>
            </w:r>
          </w:p>
        </w:tc>
        <w:tc>
          <w:tcPr>
            <w:tcW w:w="5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w:t>
            </w:r>
            <w:r>
              <w:rPr>
                <w:rFonts w:ascii="Arial" w:cs="Arial" w:eastAsia="Arial" w:hAnsi="Arial"/>
                <w:sz w:val="28"/>
                <w:szCs w:val="28"/>
                <w:color w:val="auto"/>
                <w:vertAlign w:val="subscript"/>
              </w:rPr>
              <w:t>​​</w:t>
            </w:r>
          </w:p>
        </w:tc>
      </w:tr>
      <w:tr>
        <w:trPr>
          <w:trHeight w:val="250"/>
        </w:trPr>
        <w:tc>
          <w:tcPr>
            <w:tcW w:w="408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Lisa French</w:t>
            </w:r>
          </w:p>
        </w:tc>
        <w:tc>
          <w:tcPr>
            <w:tcW w:w="2720" w:type="dxa"/>
            <w:vAlign w:val="bottom"/>
            <w:tcBorders>
              <w:bottom w:val="single" w:sz="8" w:color="auto"/>
            </w:tcBorders>
            <w:shd w:val="clear" w:color="auto" w:fill="E5E5E5"/>
          </w:tcPr>
          <w:p>
            <w:pPr>
              <w:ind w:left="240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20" w:type="dxa"/>
            <w:vAlign w:val="bottom"/>
            <w:tcBorders>
              <w:bottom w:val="single" w:sz="8" w:color="auto"/>
            </w:tcBorders>
            <w:shd w:val="clear" w:color="auto" w:fill="E5E5E5"/>
          </w:tcPr>
          <w:p>
            <w:pPr>
              <w:ind w:left="100"/>
              <w:spacing w:after="0" w:line="250" w:lineRule="exact"/>
              <w:rPr>
                <w:sz w:val="20"/>
                <w:szCs w:val="20"/>
                <w:color w:val="auto"/>
              </w:rPr>
            </w:pPr>
            <w:r>
              <w:rPr>
                <w:rFonts w:ascii="Arial" w:cs="Arial" w:eastAsia="Arial" w:hAnsi="Arial"/>
                <w:sz w:val="15"/>
                <w:szCs w:val="15"/>
                <w:color w:val="auto"/>
              </w:rPr>
              <w:t>615,000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100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636,525</w:t>
            </w:r>
            <w:r>
              <w:rPr>
                <w:rFonts w:ascii="Arial" w:cs="Arial" w:eastAsia="Arial" w:hAnsi="Arial"/>
                <w:sz w:val="28"/>
                <w:szCs w:val="28"/>
                <w:color w:val="auto"/>
                <w:vertAlign w:val="subscript"/>
              </w:rPr>
              <w:t>​​ ​</w:t>
            </w:r>
          </w:p>
        </w:tc>
        <w:tc>
          <w:tcPr>
            <w:tcW w:w="58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w:t>
            </w:r>
            <w:r>
              <w:rPr>
                <w:rFonts w:ascii="Arial" w:cs="Arial" w:eastAsia="Arial" w:hAnsi="Arial"/>
                <w:sz w:val="28"/>
                <w:szCs w:val="28"/>
                <w:color w:val="auto"/>
                <w:vertAlign w:val="subscript"/>
              </w:rPr>
              <w:t>​​</w:t>
            </w:r>
          </w:p>
        </w:tc>
      </w:tr>
      <w:tr>
        <w:trPr>
          <w:trHeight w:val="250"/>
        </w:trPr>
        <w:tc>
          <w:tcPr>
            <w:tcW w:w="40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Mark A. Tyndall</w:t>
            </w:r>
          </w:p>
        </w:tc>
        <w:tc>
          <w:tcPr>
            <w:tcW w:w="2720" w:type="dxa"/>
            <w:vAlign w:val="bottom"/>
            <w:tcBorders>
              <w:bottom w:val="single" w:sz="8" w:color="auto"/>
            </w:tcBorders>
          </w:tcPr>
          <w:p>
            <w:pPr>
              <w:ind w:left="240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5"/>
                <w:szCs w:val="15"/>
                <w:color w:val="auto"/>
              </w:rPr>
              <w:t>610,000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100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631,350</w:t>
            </w:r>
            <w:r>
              <w:rPr>
                <w:rFonts w:ascii="Arial" w:cs="Arial" w:eastAsia="Arial" w:hAnsi="Arial"/>
                <w:sz w:val="28"/>
                <w:szCs w:val="28"/>
                <w:color w:val="auto"/>
                <w:vertAlign w:val="subscript"/>
              </w:rPr>
              <w:t>​​ ​</w:t>
            </w:r>
          </w:p>
        </w:tc>
        <w:tc>
          <w:tcPr>
            <w:tcW w:w="5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w:t>
            </w:r>
            <w:r>
              <w:rPr>
                <w:rFonts w:ascii="Arial" w:cs="Arial" w:eastAsia="Arial" w:hAnsi="Arial"/>
                <w:sz w:val="28"/>
                <w:szCs w:val="28"/>
                <w:color w:val="auto"/>
                <w:vertAlign w:val="subscript"/>
              </w:rPr>
              <w:t>​​</w:t>
            </w:r>
          </w:p>
        </w:tc>
      </w:tr>
      <w:tr>
        <w:trPr>
          <w:trHeight w:val="236"/>
        </w:trPr>
        <w:tc>
          <w:tcPr>
            <w:tcW w:w="40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​Bryan M. Reasons</w:t>
            </w:r>
            <w:r>
              <w:rPr>
                <w:rFonts w:ascii="Arial" w:cs="Arial" w:eastAsia="Arial" w:hAnsi="Arial"/>
                <w:sz w:val="19"/>
                <w:szCs w:val="19"/>
                <w:color w:val="auto"/>
                <w:vertAlign w:val="superscript"/>
              </w:rPr>
              <w:t>(2)</w:t>
            </w:r>
          </w:p>
        </w:tc>
        <w:tc>
          <w:tcPr>
            <w:tcW w:w="2720" w:type="dxa"/>
            <w:vAlign w:val="bottom"/>
            <w:tcBorders>
              <w:bottom w:val="single" w:sz="8" w:color="auto"/>
            </w:tcBorders>
            <w:shd w:val="clear" w:color="auto" w:fill="E5E5E5"/>
          </w:tcPr>
          <w:p>
            <w:pPr>
              <w:ind w:left="240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652,050​​ ​​$</w:t>
            </w:r>
          </w:p>
        </w:tc>
        <w:tc>
          <w:tcPr>
            <w:tcW w:w="10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6"/>
                <w:szCs w:val="16"/>
                <w:color w:val="auto"/>
              </w:rPr>
              <w:t>674,872​​ ​</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​3.5%​​</w:t>
            </w:r>
          </w:p>
        </w:tc>
      </w:tr>
    </w:tbl>
    <w:p>
      <w:pPr>
        <w:spacing w:after="0" w:line="136" w:lineRule="exact"/>
        <w:rPr>
          <w:sz w:val="20"/>
          <w:szCs w:val="20"/>
          <w:color w:val="auto"/>
        </w:rPr>
      </w:pPr>
    </w:p>
    <w:p>
      <w:pPr>
        <w:ind w:left="1040" w:right="300" w:hanging="368"/>
        <w:spacing w:after="0" w:line="302" w:lineRule="auto"/>
        <w:tabs>
          <w:tab w:leader="none" w:pos="10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Initial Salary for Ms. Stamoulis represents her salary as of her September 22, 2025 appointment as the Company’s President and Chief Financial Officer.</w:t>
      </w:r>
    </w:p>
    <w:p>
      <w:pPr>
        <w:spacing w:after="0" w:line="1" w:lineRule="exact"/>
        <w:rPr>
          <w:rFonts w:ascii="Arial" w:cs="Arial" w:eastAsia="Arial" w:hAnsi="Arial"/>
          <w:sz w:val="13"/>
          <w:szCs w:val="13"/>
          <w:color w:val="auto"/>
        </w:rPr>
      </w:pPr>
    </w:p>
    <w:p>
      <w:pPr>
        <w:ind w:left="1040" w:hanging="368"/>
        <w:spacing w:after="0"/>
        <w:tabs>
          <w:tab w:leader="none" w:pos="10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Ending Salary for Mr. Reasons represents his salary as of September 22, 2025, the day he ceased to be an officer of the Company.</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2025 STIP Awards</w:t>
      </w:r>
    </w:p>
    <w:p>
      <w:pPr>
        <w:spacing w:after="0" w:line="122" w:lineRule="exact"/>
        <w:rPr>
          <w:sz w:val="20"/>
          <w:szCs w:val="20"/>
          <w:color w:val="auto"/>
        </w:rPr>
      </w:pPr>
    </w:p>
    <w:p>
      <w:pPr>
        <w:ind w:left="680" w:right="300"/>
        <w:spacing w:after="0" w:line="271" w:lineRule="auto"/>
        <w:rPr>
          <w:sz w:val="20"/>
          <w:szCs w:val="20"/>
          <w:color w:val="auto"/>
        </w:rPr>
      </w:pPr>
      <w:r>
        <w:rPr>
          <w:rFonts w:ascii="Arial" w:cs="Arial" w:eastAsia="Arial" w:hAnsi="Arial"/>
          <w:sz w:val="16"/>
          <w:szCs w:val="16"/>
          <w:color w:val="auto"/>
        </w:rPr>
        <w:t>During fiscal 2025, each NEO participated in the 2025 STIP, which provided our NEOs with the opportunity to receive an incentive payment determined by multiplying their individual incentive target by the Company’s achievement against pre-determined performance measures and then by an individual performance modifier. The following illustrates the formula for the 2025 STIP established at the beginning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115570</wp:posOffset>
            </wp:positionV>
            <wp:extent cx="5040630" cy="694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4063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right="380"/>
        <w:spacing w:after="0" w:line="304" w:lineRule="auto"/>
        <w:rPr>
          <w:sz w:val="20"/>
          <w:szCs w:val="20"/>
          <w:color w:val="auto"/>
        </w:rPr>
      </w:pPr>
      <w:r>
        <w:rPr>
          <w:rFonts w:ascii="Arial" w:cs="Arial" w:eastAsia="Arial" w:hAnsi="Arial"/>
          <w:sz w:val="16"/>
          <w:szCs w:val="16"/>
          <w:color w:val="auto"/>
        </w:rPr>
        <w:t>Individual STIP targets in effect for our NEOs for 2025 are summarized in the table below. These targets were established by the HRCC (or the full Board in the case of the CEO’s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​24 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770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1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00514B"/>
        </w:rPr>
        <w:t>2025 STIP Target as a % of Salary</w:t>
      </w:r>
    </w:p>
    <w:tbl>
      <w:tblPr>
        <w:tblLayout w:type="fixed"/>
        <w:tblInd w:w="660" w:type="dxa"/>
        <w:tblCellMar>
          <w:top w:w="0" w:type="dxa"/>
          <w:left w:w="0" w:type="dxa"/>
          <w:bottom w:w="0" w:type="dxa"/>
          <w:right w:w="0" w:type="dxa"/>
        </w:tblCellMar>
      </w:tblPr>
      <w:tr>
        <w:trPr>
          <w:trHeight w:val="352"/>
        </w:trPr>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5100" w:type="dxa"/>
            <w:vAlign w:val="bottom"/>
          </w:tcPr>
          <w:p>
            <w:pPr>
              <w:spacing w:after="0"/>
              <w:rPr>
                <w:sz w:val="20"/>
                <w:szCs w:val="20"/>
                <w:color w:val="auto"/>
              </w:rPr>
            </w:pPr>
            <w:r>
              <w:rPr>
                <w:rFonts w:ascii="Arial" w:cs="Arial" w:eastAsia="Arial" w:hAnsi="Arial"/>
                <w:sz w:val="16"/>
                <w:szCs w:val="16"/>
                <w:color w:val="auto"/>
              </w:rPr>
              <w:t>Sigurdur O. Olafsson</w:t>
            </w:r>
            <w:r>
              <w:rPr>
                <w:rFonts w:ascii="Arial" w:cs="Arial" w:eastAsia="Arial" w:hAnsi="Arial"/>
                <w:sz w:val="19"/>
                <w:szCs w:val="19"/>
                <w:color w:val="auto"/>
                <w:vertAlign w:val="superscript"/>
              </w:rPr>
              <w:t>(1)</w:t>
            </w:r>
          </w:p>
        </w:tc>
        <w:tc>
          <w:tcPr>
            <w:tcW w:w="3680" w:type="dxa"/>
            <w:vAlign w:val="bottom"/>
            <w:vMerge w:val="restart"/>
          </w:tcPr>
          <w:p>
            <w:pPr>
              <w:ind w:left="3480"/>
              <w:spacing w:after="0"/>
              <w:rPr>
                <w:sz w:val="20"/>
                <w:szCs w:val="20"/>
                <w:color w:val="auto"/>
              </w:rPr>
            </w:pPr>
            <w:r>
              <w:rPr>
                <w:rFonts w:ascii="Arial" w:cs="Arial" w:eastAsia="Arial" w:hAnsi="Arial"/>
                <w:sz w:val="16"/>
                <w:szCs w:val="16"/>
                <w:color w:val="auto"/>
              </w:rPr>
              <w:t>​ ​</w:t>
            </w:r>
          </w:p>
        </w:tc>
        <w:tc>
          <w:tcPr>
            <w:tcW w:w="500" w:type="dxa"/>
            <w:vAlign w:val="bottom"/>
          </w:tcPr>
          <w:p>
            <w:pPr>
              <w:ind w:left="40"/>
              <w:spacing w:after="0" w:line="352"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68"/>
        </w:trPr>
        <w:tc>
          <w:tcPr>
            <w:tcW w:w="120" w:type="dxa"/>
            <w:vAlign w:val="bottom"/>
            <w:tcBorders>
              <w:bottom w:val="single" w:sz="8" w:color="auto"/>
            </w:tcBorders>
            <w:vMerge w:val="continue"/>
          </w:tcPr>
          <w:p>
            <w:pPr>
              <w:spacing w:after="0"/>
              <w:rPr>
                <w:sz w:val="5"/>
                <w:szCs w:val="5"/>
                <w:color w:val="auto"/>
              </w:rPr>
            </w:pPr>
          </w:p>
        </w:tc>
        <w:tc>
          <w:tcPr>
            <w:tcW w:w="510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ind w:left="40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83"/>
        </w:trPr>
        <w:tc>
          <w:tcPr>
            <w:tcW w:w="1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10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Christiana Stamoulis</w:t>
            </w:r>
          </w:p>
        </w:tc>
        <w:tc>
          <w:tcPr>
            <w:tcW w:w="3680" w:type="dxa"/>
            <w:vAlign w:val="bottom"/>
            <w:vMerge w:val="restart"/>
            <w:shd w:val="clear" w:color="auto" w:fill="E5E5E5"/>
          </w:tcPr>
          <w:p>
            <w:pPr>
              <w:ind w:left="3480"/>
              <w:spacing w:after="0"/>
              <w:rPr>
                <w:sz w:val="20"/>
                <w:szCs w:val="20"/>
                <w:color w:val="auto"/>
              </w:rPr>
            </w:pPr>
            <w:r>
              <w:rPr>
                <w:rFonts w:ascii="Arial" w:cs="Arial" w:eastAsia="Arial" w:hAnsi="Arial"/>
                <w:sz w:val="16"/>
                <w:szCs w:val="16"/>
                <w:color w:val="auto"/>
              </w:rPr>
              <w:t>​ ​</w:t>
            </w:r>
          </w:p>
        </w:tc>
        <w:tc>
          <w:tcPr>
            <w:tcW w:w="500" w:type="dxa"/>
            <w:vAlign w:val="bottom"/>
            <w:shd w:val="clear" w:color="auto" w:fill="E5E5E5"/>
          </w:tcPr>
          <w:p>
            <w:pPr>
              <w:ind w:left="40"/>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80%</w:t>
            </w:r>
          </w:p>
        </w:tc>
        <w:tc>
          <w:tcPr>
            <w:tcW w:w="0" w:type="dxa"/>
            <w:vAlign w:val="bottom"/>
          </w:tcPr>
          <w:p>
            <w:pPr>
              <w:spacing w:after="0"/>
              <w:rPr>
                <w:sz w:val="1"/>
                <w:szCs w:val="1"/>
                <w:color w:val="auto"/>
              </w:rPr>
            </w:pPr>
          </w:p>
        </w:tc>
      </w:tr>
      <w:tr>
        <w:trPr>
          <w:trHeight w:val="68"/>
        </w:trPr>
        <w:tc>
          <w:tcPr>
            <w:tcW w:w="120" w:type="dxa"/>
            <w:vAlign w:val="bottom"/>
            <w:tcBorders>
              <w:bottom w:val="single" w:sz="8" w:color="auto"/>
            </w:tcBorders>
            <w:vMerge w:val="continue"/>
            <w:shd w:val="clear" w:color="auto" w:fill="E5E5E5"/>
          </w:tcPr>
          <w:p>
            <w:pPr>
              <w:spacing w:after="0"/>
              <w:rPr>
                <w:sz w:val="5"/>
                <w:szCs w:val="5"/>
                <w:color w:val="auto"/>
              </w:rPr>
            </w:pPr>
          </w:p>
        </w:tc>
        <w:tc>
          <w:tcPr>
            <w:tcW w:w="5100" w:type="dxa"/>
            <w:vAlign w:val="bottom"/>
            <w:tcBorders>
              <w:bottom w:val="single" w:sz="8" w:color="auto"/>
            </w:tcBorders>
            <w:shd w:val="clear" w:color="auto" w:fill="E5E5E5"/>
          </w:tcPr>
          <w:p>
            <w:pPr>
              <w:spacing w:after="0"/>
              <w:rPr>
                <w:sz w:val="5"/>
                <w:szCs w:val="5"/>
                <w:color w:val="auto"/>
              </w:rPr>
            </w:pPr>
          </w:p>
        </w:tc>
        <w:tc>
          <w:tcPr>
            <w:tcW w:w="3680" w:type="dxa"/>
            <w:vAlign w:val="bottom"/>
            <w:tcBorders>
              <w:bottom w:val="single" w:sz="8" w:color="auto"/>
            </w:tcBorders>
            <w:vMerge w:val="continue"/>
            <w:shd w:val="clear" w:color="auto" w:fill="E5E5E5"/>
          </w:tcPr>
          <w:p>
            <w:pPr>
              <w:spacing w:after="0"/>
              <w:rPr>
                <w:sz w:val="5"/>
                <w:szCs w:val="5"/>
                <w:color w:val="auto"/>
              </w:rPr>
            </w:pPr>
          </w:p>
        </w:tc>
        <w:tc>
          <w:tcPr>
            <w:tcW w:w="500" w:type="dxa"/>
            <w:vAlign w:val="bottom"/>
            <w:tcBorders>
              <w:bottom w:val="single" w:sz="8" w:color="auto"/>
            </w:tcBorders>
            <w:shd w:val="clear" w:color="auto" w:fill="E5E5E5"/>
          </w:tcPr>
          <w:p>
            <w:pPr>
              <w:ind w:left="40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83"/>
        </w:trPr>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5100" w:type="dxa"/>
            <w:vAlign w:val="bottom"/>
          </w:tcPr>
          <w:p>
            <w:pPr>
              <w:spacing w:after="0" w:line="183" w:lineRule="exact"/>
              <w:rPr>
                <w:sz w:val="20"/>
                <w:szCs w:val="20"/>
                <w:color w:val="auto"/>
              </w:rPr>
            </w:pPr>
            <w:r>
              <w:rPr>
                <w:rFonts w:ascii="Arial" w:cs="Arial" w:eastAsia="Arial" w:hAnsi="Arial"/>
                <w:sz w:val="16"/>
                <w:szCs w:val="16"/>
                <w:color w:val="auto"/>
              </w:rPr>
              <w:t>Henriette Nielsen</w:t>
            </w:r>
          </w:p>
        </w:tc>
        <w:tc>
          <w:tcPr>
            <w:tcW w:w="3680" w:type="dxa"/>
            <w:vAlign w:val="bottom"/>
            <w:vMerge w:val="restart"/>
          </w:tcPr>
          <w:p>
            <w:pPr>
              <w:ind w:left="3480"/>
              <w:spacing w:after="0"/>
              <w:rPr>
                <w:sz w:val="20"/>
                <w:szCs w:val="20"/>
                <w:color w:val="auto"/>
              </w:rPr>
            </w:pPr>
            <w:r>
              <w:rPr>
                <w:rFonts w:ascii="Arial" w:cs="Arial" w:eastAsia="Arial" w:hAnsi="Arial"/>
                <w:sz w:val="16"/>
                <w:szCs w:val="16"/>
                <w:color w:val="auto"/>
              </w:rPr>
              <w:t>​ ​</w:t>
            </w:r>
          </w:p>
        </w:tc>
        <w:tc>
          <w:tcPr>
            <w:tcW w:w="500" w:type="dxa"/>
            <w:vAlign w:val="bottom"/>
          </w:tcPr>
          <w:p>
            <w:pPr>
              <w:ind w:left="40"/>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75%</w:t>
            </w:r>
          </w:p>
        </w:tc>
        <w:tc>
          <w:tcPr>
            <w:tcW w:w="0" w:type="dxa"/>
            <w:vAlign w:val="bottom"/>
          </w:tcPr>
          <w:p>
            <w:pPr>
              <w:spacing w:after="0"/>
              <w:rPr>
                <w:sz w:val="1"/>
                <w:szCs w:val="1"/>
                <w:color w:val="auto"/>
              </w:rPr>
            </w:pPr>
          </w:p>
        </w:tc>
      </w:tr>
      <w:tr>
        <w:trPr>
          <w:trHeight w:val="68"/>
        </w:trPr>
        <w:tc>
          <w:tcPr>
            <w:tcW w:w="120" w:type="dxa"/>
            <w:vAlign w:val="bottom"/>
            <w:tcBorders>
              <w:bottom w:val="single" w:sz="8" w:color="auto"/>
            </w:tcBorders>
            <w:vMerge w:val="continue"/>
          </w:tcPr>
          <w:p>
            <w:pPr>
              <w:spacing w:after="0"/>
              <w:rPr>
                <w:sz w:val="5"/>
                <w:szCs w:val="5"/>
                <w:color w:val="auto"/>
              </w:rPr>
            </w:pPr>
          </w:p>
        </w:tc>
        <w:tc>
          <w:tcPr>
            <w:tcW w:w="510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ind w:left="40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83"/>
        </w:trPr>
        <w:tc>
          <w:tcPr>
            <w:tcW w:w="1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10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Lisa French</w:t>
            </w:r>
          </w:p>
        </w:tc>
        <w:tc>
          <w:tcPr>
            <w:tcW w:w="3680" w:type="dxa"/>
            <w:vAlign w:val="bottom"/>
            <w:vMerge w:val="restart"/>
            <w:shd w:val="clear" w:color="auto" w:fill="E5E5E5"/>
          </w:tcPr>
          <w:p>
            <w:pPr>
              <w:ind w:left="3480"/>
              <w:spacing w:after="0"/>
              <w:rPr>
                <w:sz w:val="20"/>
                <w:szCs w:val="20"/>
                <w:color w:val="auto"/>
              </w:rPr>
            </w:pPr>
            <w:r>
              <w:rPr>
                <w:rFonts w:ascii="Arial" w:cs="Arial" w:eastAsia="Arial" w:hAnsi="Arial"/>
                <w:sz w:val="16"/>
                <w:szCs w:val="16"/>
                <w:color w:val="auto"/>
              </w:rPr>
              <w:t>​ ​</w:t>
            </w:r>
          </w:p>
        </w:tc>
        <w:tc>
          <w:tcPr>
            <w:tcW w:w="500" w:type="dxa"/>
            <w:vAlign w:val="bottom"/>
            <w:shd w:val="clear" w:color="auto" w:fill="E5E5E5"/>
          </w:tcPr>
          <w:p>
            <w:pPr>
              <w:ind w:left="40"/>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75%</w:t>
            </w:r>
          </w:p>
        </w:tc>
        <w:tc>
          <w:tcPr>
            <w:tcW w:w="0" w:type="dxa"/>
            <w:vAlign w:val="bottom"/>
          </w:tcPr>
          <w:p>
            <w:pPr>
              <w:spacing w:after="0"/>
              <w:rPr>
                <w:sz w:val="1"/>
                <w:szCs w:val="1"/>
                <w:color w:val="auto"/>
              </w:rPr>
            </w:pPr>
          </w:p>
        </w:tc>
      </w:tr>
      <w:tr>
        <w:trPr>
          <w:trHeight w:val="68"/>
        </w:trPr>
        <w:tc>
          <w:tcPr>
            <w:tcW w:w="120" w:type="dxa"/>
            <w:vAlign w:val="bottom"/>
            <w:tcBorders>
              <w:bottom w:val="single" w:sz="8" w:color="auto"/>
            </w:tcBorders>
            <w:vMerge w:val="continue"/>
            <w:shd w:val="clear" w:color="auto" w:fill="E5E5E5"/>
          </w:tcPr>
          <w:p>
            <w:pPr>
              <w:spacing w:after="0"/>
              <w:rPr>
                <w:sz w:val="5"/>
                <w:szCs w:val="5"/>
                <w:color w:val="auto"/>
              </w:rPr>
            </w:pPr>
          </w:p>
        </w:tc>
        <w:tc>
          <w:tcPr>
            <w:tcW w:w="5100" w:type="dxa"/>
            <w:vAlign w:val="bottom"/>
            <w:tcBorders>
              <w:bottom w:val="single" w:sz="8" w:color="auto"/>
            </w:tcBorders>
            <w:shd w:val="clear" w:color="auto" w:fill="E5E5E5"/>
          </w:tcPr>
          <w:p>
            <w:pPr>
              <w:spacing w:after="0"/>
              <w:rPr>
                <w:sz w:val="5"/>
                <w:szCs w:val="5"/>
                <w:color w:val="auto"/>
              </w:rPr>
            </w:pPr>
          </w:p>
        </w:tc>
        <w:tc>
          <w:tcPr>
            <w:tcW w:w="3680" w:type="dxa"/>
            <w:vAlign w:val="bottom"/>
            <w:tcBorders>
              <w:bottom w:val="single" w:sz="8" w:color="auto"/>
            </w:tcBorders>
            <w:vMerge w:val="continue"/>
            <w:shd w:val="clear" w:color="auto" w:fill="E5E5E5"/>
          </w:tcPr>
          <w:p>
            <w:pPr>
              <w:spacing w:after="0"/>
              <w:rPr>
                <w:sz w:val="5"/>
                <w:szCs w:val="5"/>
                <w:color w:val="auto"/>
              </w:rPr>
            </w:pPr>
          </w:p>
        </w:tc>
        <w:tc>
          <w:tcPr>
            <w:tcW w:w="500" w:type="dxa"/>
            <w:vAlign w:val="bottom"/>
            <w:tcBorders>
              <w:bottom w:val="single" w:sz="8" w:color="auto"/>
            </w:tcBorders>
            <w:shd w:val="clear" w:color="auto" w:fill="E5E5E5"/>
          </w:tcPr>
          <w:p>
            <w:pPr>
              <w:ind w:left="40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83"/>
        </w:trPr>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5100" w:type="dxa"/>
            <w:vAlign w:val="bottom"/>
          </w:tcPr>
          <w:p>
            <w:pPr>
              <w:spacing w:after="0" w:line="183" w:lineRule="exact"/>
              <w:rPr>
                <w:sz w:val="20"/>
                <w:szCs w:val="20"/>
                <w:color w:val="auto"/>
              </w:rPr>
            </w:pPr>
            <w:r>
              <w:rPr>
                <w:rFonts w:ascii="Arial" w:cs="Arial" w:eastAsia="Arial" w:hAnsi="Arial"/>
                <w:sz w:val="16"/>
                <w:szCs w:val="16"/>
                <w:color w:val="auto"/>
              </w:rPr>
              <w:t>Mark A. Tyndall</w:t>
            </w:r>
          </w:p>
        </w:tc>
        <w:tc>
          <w:tcPr>
            <w:tcW w:w="3680" w:type="dxa"/>
            <w:vAlign w:val="bottom"/>
            <w:vMerge w:val="restart"/>
          </w:tcPr>
          <w:p>
            <w:pPr>
              <w:ind w:left="3480"/>
              <w:spacing w:after="0"/>
              <w:rPr>
                <w:sz w:val="20"/>
                <w:szCs w:val="20"/>
                <w:color w:val="auto"/>
              </w:rPr>
            </w:pPr>
            <w:r>
              <w:rPr>
                <w:rFonts w:ascii="Arial" w:cs="Arial" w:eastAsia="Arial" w:hAnsi="Arial"/>
                <w:sz w:val="16"/>
                <w:szCs w:val="16"/>
                <w:color w:val="auto"/>
              </w:rPr>
              <w:t>​ ​</w:t>
            </w:r>
          </w:p>
        </w:tc>
        <w:tc>
          <w:tcPr>
            <w:tcW w:w="500" w:type="dxa"/>
            <w:vAlign w:val="bottom"/>
          </w:tcPr>
          <w:p>
            <w:pPr>
              <w:ind w:left="40"/>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75%</w:t>
            </w:r>
          </w:p>
        </w:tc>
        <w:tc>
          <w:tcPr>
            <w:tcW w:w="0" w:type="dxa"/>
            <w:vAlign w:val="bottom"/>
          </w:tcPr>
          <w:p>
            <w:pPr>
              <w:spacing w:after="0"/>
              <w:rPr>
                <w:sz w:val="1"/>
                <w:szCs w:val="1"/>
                <w:color w:val="auto"/>
              </w:rPr>
            </w:pPr>
          </w:p>
        </w:tc>
      </w:tr>
      <w:tr>
        <w:trPr>
          <w:trHeight w:val="68"/>
        </w:trPr>
        <w:tc>
          <w:tcPr>
            <w:tcW w:w="120" w:type="dxa"/>
            <w:vAlign w:val="bottom"/>
            <w:tcBorders>
              <w:bottom w:val="single" w:sz="8" w:color="auto"/>
            </w:tcBorders>
            <w:vMerge w:val="continue"/>
          </w:tcPr>
          <w:p>
            <w:pPr>
              <w:spacing w:after="0"/>
              <w:rPr>
                <w:sz w:val="5"/>
                <w:szCs w:val="5"/>
                <w:color w:val="auto"/>
              </w:rPr>
            </w:pPr>
          </w:p>
        </w:tc>
        <w:tc>
          <w:tcPr>
            <w:tcW w:w="510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ind w:left="40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83"/>
        </w:trPr>
        <w:tc>
          <w:tcPr>
            <w:tcW w:w="1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10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Bryan M. Reasons</w:t>
            </w:r>
          </w:p>
        </w:tc>
        <w:tc>
          <w:tcPr>
            <w:tcW w:w="3680" w:type="dxa"/>
            <w:vAlign w:val="bottom"/>
            <w:vMerge w:val="restart"/>
            <w:shd w:val="clear" w:color="auto" w:fill="E5E5E5"/>
          </w:tcPr>
          <w:p>
            <w:pPr>
              <w:ind w:left="3480"/>
              <w:spacing w:after="0"/>
              <w:rPr>
                <w:sz w:val="20"/>
                <w:szCs w:val="20"/>
                <w:color w:val="auto"/>
              </w:rPr>
            </w:pPr>
            <w:r>
              <w:rPr>
                <w:rFonts w:ascii="Arial" w:cs="Arial" w:eastAsia="Arial" w:hAnsi="Arial"/>
                <w:sz w:val="16"/>
                <w:szCs w:val="16"/>
                <w:color w:val="auto"/>
              </w:rPr>
              <w:t>​ ​</w:t>
            </w:r>
          </w:p>
        </w:tc>
        <w:tc>
          <w:tcPr>
            <w:tcW w:w="5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54"/>
        </w:trPr>
        <w:tc>
          <w:tcPr>
            <w:tcW w:w="120" w:type="dxa"/>
            <w:vAlign w:val="bottom"/>
            <w:tcBorders>
              <w:bottom w:val="single" w:sz="8" w:color="auto"/>
            </w:tcBorders>
            <w:vMerge w:val="continue"/>
            <w:shd w:val="clear" w:color="auto" w:fill="E5E5E5"/>
          </w:tcPr>
          <w:p>
            <w:pPr>
              <w:spacing w:after="0"/>
              <w:rPr>
                <w:sz w:val="4"/>
                <w:szCs w:val="4"/>
                <w:color w:val="auto"/>
              </w:rPr>
            </w:pPr>
          </w:p>
        </w:tc>
        <w:tc>
          <w:tcPr>
            <w:tcW w:w="5100" w:type="dxa"/>
            <w:vAlign w:val="bottom"/>
            <w:tcBorders>
              <w:bottom w:val="single" w:sz="8" w:color="auto"/>
            </w:tcBorders>
            <w:shd w:val="clear" w:color="auto" w:fill="E5E5E5"/>
          </w:tcPr>
          <w:p>
            <w:pPr>
              <w:spacing w:after="0"/>
              <w:rPr>
                <w:sz w:val="4"/>
                <w:szCs w:val="4"/>
                <w:color w:val="auto"/>
              </w:rPr>
            </w:pPr>
          </w:p>
        </w:tc>
        <w:tc>
          <w:tcPr>
            <w:tcW w:w="3680" w:type="dxa"/>
            <w:vAlign w:val="bottom"/>
            <w:tcBorders>
              <w:bottom w:val="single" w:sz="8" w:color="auto"/>
            </w:tcBorders>
            <w:vMerge w:val="continue"/>
            <w:shd w:val="clear" w:color="auto" w:fill="E5E5E5"/>
          </w:tcPr>
          <w:p>
            <w:pPr>
              <w:spacing w:after="0"/>
              <w:rPr>
                <w:sz w:val="4"/>
                <w:szCs w:val="4"/>
                <w:color w:val="auto"/>
              </w:rPr>
            </w:pPr>
          </w:p>
        </w:tc>
        <w:tc>
          <w:tcPr>
            <w:tcW w:w="500" w:type="dxa"/>
            <w:vAlign w:val="bottom"/>
            <w:tcBorders>
              <w:bottom w:val="single" w:sz="8" w:color="auto"/>
            </w:tcBorders>
            <w:shd w:val="clear" w:color="auto" w:fill="E5E5E5"/>
          </w:tcPr>
          <w:p>
            <w:pPr>
              <w:ind w:left="40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040" w:right="120" w:hanging="368"/>
        <w:spacing w:after="0" w:line="251" w:lineRule="auto"/>
        <w:tabs>
          <w:tab w:leader="none" w:pos="10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percentage reported for Mr. Olafsson represents the target in effect for Mr. Olafsson following effectiveness of the 2025 CEO Agreement (as defined below). Prior to this, his target was 135% of salary. Pursuant to the terms of the 2025 CEO Agreement, Mr. Olafsson’s 2025 target STIP amount was determined separately on a prorated basis for the pre-merger and post-merger portions of fiscal 2025 based on (i) with respect to the pre-merger portion of fiscal 2025, the terms in effect immediately prior to effectiveness of the 2025 CEO Agreement (target of 135% of prorated base salary, equal to $936,493) and (ii) with respect to the post-merger portion of fiscal 2025, the terms in effect following effectiveness of the 2025 CEO Agreement (target of 200% of prorated base salary, equal to $1,012,603).</w:t>
      </w:r>
    </w:p>
    <w:p>
      <w:pPr>
        <w:spacing w:after="0" w:line="154" w:lineRule="exact"/>
        <w:rPr>
          <w:sz w:val="20"/>
          <w:szCs w:val="20"/>
          <w:color w:val="auto"/>
        </w:rPr>
      </w:pPr>
    </w:p>
    <w:p>
      <w:pPr>
        <w:jc w:val="both"/>
        <w:ind w:left="680" w:right="300"/>
        <w:spacing w:after="0" w:line="271" w:lineRule="auto"/>
        <w:rPr>
          <w:sz w:val="20"/>
          <w:szCs w:val="20"/>
          <w:color w:val="auto"/>
        </w:rPr>
      </w:pPr>
      <w:r>
        <w:rPr>
          <w:rFonts w:ascii="Arial" w:cs="Arial" w:eastAsia="Arial" w:hAnsi="Arial"/>
          <w:sz w:val="16"/>
          <w:szCs w:val="16"/>
          <w:color w:val="auto"/>
        </w:rPr>
        <w:t>Certain annual bonus caps were also established for the NEOs in the terms of their employment agreements and/or through limits otherwise set by the HRCC and/or the Board. The 2025 STIP caps were (i) for Mr. Olafsson, 250% of prorated base salary for the pre-merger portion of fiscal 2025 and 400% of prorated base salary for the post-merger portion of fiscal 2025 and (ii) for the other NEOs, 200% of individual target amounts.</w:t>
      </w:r>
    </w:p>
    <w:p>
      <w:pPr>
        <w:spacing w:after="0" w:line="141" w:lineRule="exact"/>
        <w:rPr>
          <w:sz w:val="20"/>
          <w:szCs w:val="20"/>
          <w:color w:val="auto"/>
        </w:rPr>
      </w:pPr>
    </w:p>
    <w:p>
      <w:pPr>
        <w:jc w:val="both"/>
        <w:ind w:left="680" w:right="60"/>
        <w:spacing w:after="0" w:line="275" w:lineRule="auto"/>
        <w:rPr>
          <w:sz w:val="20"/>
          <w:szCs w:val="20"/>
          <w:color w:val="auto"/>
        </w:rPr>
      </w:pPr>
      <w:r>
        <w:rPr>
          <w:rFonts w:ascii="Arial" w:cs="Arial" w:eastAsia="Arial" w:hAnsi="Arial"/>
          <w:sz w:val="16"/>
          <w:szCs w:val="16"/>
          <w:color w:val="auto"/>
        </w:rPr>
        <w:t>Company performance is designed to be achieved in a range from 0% (achievement at less than threshold) to 200% (achievement at maximum or above) of target based upon the Company’s performance. The Company performance measures applicable to the 2025 STIP program are further described below.</w:t>
      </w:r>
    </w:p>
    <w:p>
      <w:pPr>
        <w:spacing w:after="0" w:line="137" w:lineRule="exact"/>
        <w:rPr>
          <w:sz w:val="20"/>
          <w:szCs w:val="20"/>
          <w:color w:val="auto"/>
        </w:rPr>
      </w:pPr>
    </w:p>
    <w:p>
      <w:pPr>
        <w:ind w:left="680" w:right="720"/>
        <w:spacing w:after="0" w:line="304" w:lineRule="auto"/>
        <w:rPr>
          <w:sz w:val="20"/>
          <w:szCs w:val="20"/>
          <w:color w:val="auto"/>
        </w:rPr>
      </w:pPr>
      <w:r>
        <w:rPr>
          <w:rFonts w:ascii="Arial" w:cs="Arial" w:eastAsia="Arial" w:hAnsi="Arial"/>
          <w:sz w:val="16"/>
          <w:szCs w:val="16"/>
          <w:color w:val="auto"/>
        </w:rPr>
        <w:t>The inclusion of an individual performance modifier component supports our pay-for-performance philosophy by allowing for downward or limited upward adjustments to individual bonus payments.</w:t>
      </w:r>
    </w:p>
    <w:p>
      <w:pPr>
        <w:spacing w:after="0" w:line="114" w:lineRule="exact"/>
        <w:rPr>
          <w:sz w:val="20"/>
          <w:szCs w:val="20"/>
          <w:color w:val="auto"/>
        </w:rPr>
      </w:pPr>
    </w:p>
    <w:p>
      <w:pPr>
        <w:ind w:left="680" w:right="140"/>
        <w:spacing w:after="0" w:line="275" w:lineRule="auto"/>
        <w:rPr>
          <w:sz w:val="20"/>
          <w:szCs w:val="20"/>
          <w:color w:val="auto"/>
        </w:rPr>
      </w:pPr>
      <w:r>
        <w:rPr>
          <w:rFonts w:ascii="Arial" w:cs="Arial" w:eastAsia="Arial" w:hAnsi="Arial"/>
          <w:sz w:val="16"/>
          <w:szCs w:val="16"/>
          <w:i w:val="1"/>
          <w:iCs w:val="1"/>
          <w:color w:val="auto"/>
        </w:rPr>
        <w:t>2025 STIP Performance Measures</w:t>
      </w:r>
      <w:r>
        <w:rPr>
          <w:rFonts w:ascii="Arial" w:cs="Arial" w:eastAsia="Arial" w:hAnsi="Arial"/>
          <w:sz w:val="16"/>
          <w:szCs w:val="16"/>
          <w:color w:val="auto"/>
        </w:rPr>
        <w:t>. For fiscal 2025, the performance measures set at the beginning of the year were Adjusted</w:t>
      </w:r>
      <w:r>
        <w:rPr>
          <w:rFonts w:ascii="Arial" w:cs="Arial" w:eastAsia="Arial" w:hAnsi="Arial"/>
          <w:sz w:val="16"/>
          <w:szCs w:val="16"/>
          <w:i w:val="1"/>
          <w:iCs w:val="1"/>
          <w:color w:val="auto"/>
        </w:rPr>
        <w:t xml:space="preserve"> </w:t>
      </w:r>
      <w:r>
        <w:rPr>
          <w:rFonts w:ascii="Arial" w:cs="Arial" w:eastAsia="Arial" w:hAnsi="Arial"/>
          <w:sz w:val="16"/>
          <w:szCs w:val="16"/>
          <w:color w:val="auto"/>
        </w:rPr>
        <w:t>EBITDA and Adjusted Operating Cash Flow (each as defined below), each equally weighted as 50%. These performance measures were set in relation to our annual budget for the enterprise as approved by the Board.</w:t>
      </w:r>
    </w:p>
    <w:p>
      <w:pPr>
        <w:spacing w:after="0" w:line="137" w:lineRule="exact"/>
        <w:rPr>
          <w:sz w:val="20"/>
          <w:szCs w:val="20"/>
          <w:color w:val="auto"/>
        </w:rPr>
      </w:pPr>
    </w:p>
    <w:p>
      <w:pPr>
        <w:ind w:left="680" w:right="160"/>
        <w:spacing w:after="0" w:line="264" w:lineRule="auto"/>
        <w:rPr>
          <w:sz w:val="20"/>
          <w:szCs w:val="20"/>
          <w:color w:val="auto"/>
        </w:rPr>
      </w:pPr>
      <w:r>
        <w:rPr>
          <w:rFonts w:ascii="Arial" w:cs="Arial" w:eastAsia="Arial" w:hAnsi="Arial"/>
          <w:sz w:val="16"/>
          <w:szCs w:val="16"/>
          <w:color w:val="auto"/>
        </w:rPr>
        <w:t>Due to the transformative nature of the Business Combination that occurred on July 31, 2025, the HRCC and the Board evaluated whether these performance measures continued to appropriately capture our most critical performance objectives in the context of the Business Combination and anticipated Separation, and ultimately approved new performance measures to be used for the post-merger portion of fiscal 2025 (leaving in place the original performance measures for the pre-merger portion of fiscal 2025, adjusted to reflect the portion of the year up to the date of the Business Combination). The new post-merger measures included: 40% tied to Adjusted EBITDA, 40% tied to net sales, and 20% tied to the successful completion of the Separation. The post-merger financial performance measures were set in relation to our July financial forecast for this period as approved by the Board.</w:t>
      </w:r>
    </w:p>
    <w:p>
      <w:pPr>
        <w:spacing w:after="0" w:line="149" w:lineRule="exact"/>
        <w:rPr>
          <w:sz w:val="20"/>
          <w:szCs w:val="20"/>
          <w:color w:val="auto"/>
        </w:rPr>
      </w:pPr>
    </w:p>
    <w:p>
      <w:pPr>
        <w:ind w:left="680" w:right="160"/>
        <w:spacing w:after="0" w:line="304" w:lineRule="auto"/>
        <w:rPr>
          <w:sz w:val="20"/>
          <w:szCs w:val="20"/>
          <w:color w:val="auto"/>
        </w:rPr>
      </w:pPr>
      <w:r>
        <w:rPr>
          <w:rFonts w:ascii="Arial" w:cs="Arial" w:eastAsia="Arial" w:hAnsi="Arial"/>
          <w:sz w:val="16"/>
          <w:szCs w:val="16"/>
          <w:color w:val="auto"/>
        </w:rPr>
        <w:t>The HRCC believes these measures represented key indicators of the strength of our business and key drivers of longer-term value creation for the respective pre- and post-merger portions of fiscal 2025.</w:t>
      </w:r>
    </w:p>
    <w:p>
      <w:pPr>
        <w:spacing w:after="0" w:line="114" w:lineRule="exact"/>
        <w:rPr>
          <w:sz w:val="20"/>
          <w:szCs w:val="20"/>
          <w:color w:val="auto"/>
        </w:rPr>
      </w:pPr>
    </w:p>
    <w:p>
      <w:pPr>
        <w:ind w:left="680" w:right="80"/>
        <w:spacing w:after="0" w:line="264" w:lineRule="auto"/>
        <w:rPr>
          <w:sz w:val="20"/>
          <w:szCs w:val="20"/>
          <w:color w:val="auto"/>
        </w:rPr>
      </w:pPr>
      <w:r>
        <w:rPr>
          <w:rFonts w:ascii="Arial" w:cs="Arial" w:eastAsia="Arial" w:hAnsi="Arial"/>
          <w:sz w:val="16"/>
          <w:szCs w:val="16"/>
          <w:color w:val="auto"/>
        </w:rPr>
        <w:t>“Adjusted EBITDA” means earnings for the fiscal year before interest, income taxes, depreciation and amortization (adjusted for non-GAAP items as defined in the disclaimers “Non-GAAP Financial Measures” consistent with our regular Exchange Act filings), adjusted to exclude the following items: share-based compensation (settled in either stock or cash); executive or Board compensation changes that were not planned in the budget; opioid defense costs / subpoena preparation in excess of the budget; impacts of acquisitions, divestitures, mergers, and business exits not planned in the budget; if significant unbudgeted foreign exchange (gain)/​loss occurs in SG&amp;A and other income/expense; and any other unusual or nonrecurring items approved by the HRCC or the Board.</w:t>
      </w:r>
    </w:p>
    <w:p>
      <w:pPr>
        <w:spacing w:after="0" w:line="149" w:lineRule="exact"/>
        <w:rPr>
          <w:sz w:val="20"/>
          <w:szCs w:val="20"/>
          <w:color w:val="auto"/>
        </w:rPr>
      </w:pPr>
    </w:p>
    <w:p>
      <w:pPr>
        <w:ind w:left="680" w:right="180"/>
        <w:spacing w:after="0" w:line="241" w:lineRule="auto"/>
        <w:rPr>
          <w:sz w:val="20"/>
          <w:szCs w:val="20"/>
          <w:color w:val="auto"/>
        </w:rPr>
      </w:pPr>
      <w:r>
        <w:rPr>
          <w:rFonts w:ascii="Arial" w:cs="Arial" w:eastAsia="Arial" w:hAnsi="Arial"/>
          <w:sz w:val="16"/>
          <w:szCs w:val="16"/>
          <w:color w:val="auto"/>
        </w:rPr>
        <w:t>“Adjusted Operating Cash Flow” means net cash from operating activities and excludes the following items: interest payments on debt; share-based compensation (settled in either stock or cash); opioid defense costs / subpoena preparation in excess of the budget; restructuring / severance payments in excess of the budget; executive or Board compensation changes that were not planned in the budget; Department of Justice and Centers for Medicare &amp; Medicaid Services settlements not budgeted; impacts of acquisitions, divestitures, mergers, and business exits not planned in the budget; timing of payments related to cumulative Terlivaz</w:t>
      </w:r>
      <w:r>
        <w:rPr>
          <w:rFonts w:ascii="Arial" w:cs="Arial" w:eastAsia="Arial" w:hAnsi="Arial"/>
          <w:sz w:val="25"/>
          <w:szCs w:val="25"/>
          <w:color w:val="auto"/>
          <w:vertAlign w:val="superscript"/>
        </w:rPr>
        <w:t>®</w:t>
      </w:r>
      <w:r>
        <w:rPr>
          <w:rFonts w:ascii="Arial" w:cs="Arial" w:eastAsia="Arial" w:hAnsi="Arial"/>
          <w:sz w:val="16"/>
          <w:szCs w:val="16"/>
          <w:color w:val="auto"/>
        </w:rPr>
        <w:t xml:space="preserve"> milestone achievement; and any other unusual or nonrecurring items approved by the HRCC or the Board.</w:t>
      </w:r>
    </w:p>
    <w:p>
      <w:pPr>
        <w:spacing w:after="0" w:line="165" w:lineRule="exact"/>
        <w:rPr>
          <w:sz w:val="20"/>
          <w:szCs w:val="20"/>
          <w:color w:val="auto"/>
        </w:rPr>
      </w:pPr>
    </w:p>
    <w:p>
      <w:pPr>
        <w:ind w:left="680" w:right="460"/>
        <w:spacing w:after="0" w:line="304" w:lineRule="auto"/>
        <w:rPr>
          <w:sz w:val="20"/>
          <w:szCs w:val="20"/>
          <w:color w:val="auto"/>
        </w:rPr>
      </w:pPr>
      <w:r>
        <w:rPr>
          <w:rFonts w:ascii="Arial" w:cs="Arial" w:eastAsia="Arial" w:hAnsi="Arial"/>
          <w:sz w:val="16"/>
          <w:szCs w:val="16"/>
          <w:color w:val="auto"/>
        </w:rPr>
        <w:t>The weighted average funding for the 2025 STIP was designed to range from 0% (achievement at less than threshold) to 200% (achievement at maximum or above) of target based upon our performance against the measures noted above.</w:t>
      </w:r>
    </w:p>
    <w:p>
      <w:pPr>
        <w:spacing w:after="0" w:line="135"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25</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16" w:lineRule="exact"/>
        <w:rPr>
          <w:sz w:val="20"/>
          <w:szCs w:val="20"/>
          <w:color w:val="auto"/>
        </w:rPr>
      </w:pPr>
    </w:p>
    <w:p>
      <w:pPr>
        <w:ind w:left="680" w:right="60"/>
        <w:spacing w:after="0" w:line="286" w:lineRule="auto"/>
        <w:rPr>
          <w:sz w:val="20"/>
          <w:szCs w:val="20"/>
          <w:color w:val="auto"/>
        </w:rPr>
      </w:pPr>
      <w:r>
        <w:rPr>
          <w:rFonts w:ascii="Arial" w:cs="Arial" w:eastAsia="Arial" w:hAnsi="Arial"/>
          <w:sz w:val="16"/>
          <w:szCs w:val="16"/>
          <w:i w:val="1"/>
          <w:iCs w:val="1"/>
          <w:color w:val="auto"/>
        </w:rPr>
        <w:t xml:space="preserve">2025 STIP Achievement and Payout </w:t>
      </w:r>
      <w:r>
        <w:rPr>
          <w:rFonts w:ascii="Arial" w:cs="Arial" w:eastAsia="Arial" w:hAnsi="Arial"/>
          <w:sz w:val="16"/>
          <w:szCs w:val="16"/>
          <w:color w:val="auto"/>
        </w:rPr>
        <w:t>. The following tables summarize the 2025 STIP performance measures, the Company’s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against such measures and the corresponding STIP funding level (dollars in millions).</w:t>
      </w:r>
    </w:p>
    <w:p>
      <w:pPr>
        <w:spacing w:after="0" w:line="16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514B"/>
        </w:rPr>
        <w:t>2025 STIP Performance Measures (Pre-Merger Portion of Fiscal 2025)</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2820" w:type="dxa"/>
            <w:vAlign w:val="bottom"/>
            <w:shd w:val="clear" w:color="auto" w:fill="B2EEDE"/>
          </w:tcPr>
          <w:p>
            <w:pPr>
              <w:spacing w:after="0"/>
              <w:rPr>
                <w:sz w:val="16"/>
                <w:szCs w:val="16"/>
                <w:color w:val="auto"/>
              </w:rPr>
            </w:pPr>
          </w:p>
        </w:tc>
        <w:tc>
          <w:tcPr>
            <w:tcW w:w="680" w:type="dxa"/>
            <w:vAlign w:val="bottom"/>
            <w:shd w:val="clear" w:color="auto" w:fill="B2EEDE"/>
          </w:tcPr>
          <w:p>
            <w:pPr>
              <w:spacing w:after="0"/>
              <w:rPr>
                <w:sz w:val="16"/>
                <w:szCs w:val="16"/>
                <w:color w:val="auto"/>
              </w:rPr>
            </w:pPr>
          </w:p>
        </w:tc>
        <w:tc>
          <w:tcPr>
            <w:tcW w:w="520" w:type="dxa"/>
            <w:vAlign w:val="bottom"/>
            <w:shd w:val="clear" w:color="auto" w:fill="B2EEDE"/>
          </w:tcPr>
          <w:p>
            <w:pPr>
              <w:spacing w:after="0"/>
              <w:rPr>
                <w:sz w:val="16"/>
                <w:szCs w:val="16"/>
                <w:color w:val="auto"/>
              </w:rPr>
            </w:pPr>
          </w:p>
        </w:tc>
        <w:tc>
          <w:tcPr>
            <w:tcW w:w="320" w:type="dxa"/>
            <w:vAlign w:val="bottom"/>
            <w:shd w:val="clear" w:color="auto" w:fill="B2EEDE"/>
          </w:tcPr>
          <w:p>
            <w:pPr>
              <w:spacing w:after="0"/>
              <w:rPr>
                <w:sz w:val="16"/>
                <w:szCs w:val="16"/>
                <w:color w:val="auto"/>
              </w:rPr>
            </w:pPr>
          </w:p>
        </w:tc>
        <w:tc>
          <w:tcPr>
            <w:tcW w:w="800" w:type="dxa"/>
            <w:vAlign w:val="bottom"/>
            <w:shd w:val="clear" w:color="auto" w:fill="B2EEDE"/>
          </w:tcPr>
          <w:p>
            <w:pPr>
              <w:spacing w:after="0"/>
              <w:rPr>
                <w:sz w:val="16"/>
                <w:szCs w:val="16"/>
                <w:color w:val="auto"/>
              </w:rPr>
            </w:pPr>
          </w:p>
        </w:tc>
        <w:tc>
          <w:tcPr>
            <w:tcW w:w="420" w:type="dxa"/>
            <w:vAlign w:val="bottom"/>
            <w:shd w:val="clear" w:color="auto" w:fill="B2EEDE"/>
          </w:tcPr>
          <w:p>
            <w:pPr>
              <w:spacing w:after="0"/>
              <w:rPr>
                <w:sz w:val="16"/>
                <w:szCs w:val="16"/>
                <w:color w:val="auto"/>
              </w:rPr>
            </w:pPr>
          </w:p>
        </w:tc>
        <w:tc>
          <w:tcPr>
            <w:tcW w:w="740" w:type="dxa"/>
            <w:vAlign w:val="bottom"/>
            <w:shd w:val="clear" w:color="auto" w:fill="B2EEDE"/>
          </w:tcPr>
          <w:p>
            <w:pPr>
              <w:spacing w:after="0"/>
              <w:rPr>
                <w:sz w:val="16"/>
                <w:szCs w:val="16"/>
                <w:color w:val="auto"/>
              </w:rPr>
            </w:pPr>
          </w:p>
        </w:tc>
        <w:tc>
          <w:tcPr>
            <w:tcW w:w="420" w:type="dxa"/>
            <w:vAlign w:val="bottom"/>
            <w:shd w:val="clear" w:color="auto" w:fill="B2EEDE"/>
          </w:tcPr>
          <w:p>
            <w:pPr>
              <w:spacing w:after="0"/>
              <w:rPr>
                <w:sz w:val="16"/>
                <w:szCs w:val="16"/>
                <w:color w:val="auto"/>
              </w:rPr>
            </w:pPr>
          </w:p>
        </w:tc>
        <w:tc>
          <w:tcPr>
            <w:tcW w:w="820" w:type="dxa"/>
            <w:vAlign w:val="bottom"/>
            <w:shd w:val="clear" w:color="auto" w:fill="B2EEDE"/>
          </w:tcPr>
          <w:p>
            <w:pPr>
              <w:spacing w:after="0"/>
              <w:rPr>
                <w:sz w:val="16"/>
                <w:szCs w:val="16"/>
                <w:color w:val="auto"/>
              </w:rPr>
            </w:pPr>
          </w:p>
        </w:tc>
        <w:tc>
          <w:tcPr>
            <w:tcW w:w="780" w:type="dxa"/>
            <w:vAlign w:val="bottom"/>
            <w:shd w:val="clear" w:color="auto" w:fill="B2EEDE"/>
          </w:tcPr>
          <w:p>
            <w:pPr>
              <w:spacing w:after="0"/>
              <w:rPr>
                <w:sz w:val="16"/>
                <w:szCs w:val="16"/>
                <w:color w:val="auto"/>
              </w:rPr>
            </w:pPr>
          </w:p>
        </w:tc>
        <w:tc>
          <w:tcPr>
            <w:tcW w:w="280" w:type="dxa"/>
            <w:vAlign w:val="bottom"/>
            <w:shd w:val="clear" w:color="auto" w:fill="B2EEDE"/>
          </w:tcPr>
          <w:p>
            <w:pPr>
              <w:spacing w:after="0"/>
              <w:rPr>
                <w:sz w:val="16"/>
                <w:szCs w:val="16"/>
                <w:color w:val="auto"/>
              </w:rPr>
            </w:pPr>
          </w:p>
        </w:tc>
        <w:tc>
          <w:tcPr>
            <w:tcW w:w="800" w:type="dxa"/>
            <w:vAlign w:val="bottom"/>
            <w:shd w:val="clear" w:color="auto" w:fill="B2EEDE"/>
          </w:tcPr>
          <w:p>
            <w:pPr>
              <w:ind w:left="120"/>
              <w:spacing w:after="0"/>
              <w:rPr>
                <w:sz w:val="20"/>
                <w:szCs w:val="20"/>
                <w:color w:val="auto"/>
              </w:rPr>
            </w:pPr>
            <w:r>
              <w:rPr>
                <w:rFonts w:ascii="Arial" w:cs="Arial" w:eastAsia="Arial" w:hAnsi="Arial"/>
                <w:sz w:val="14"/>
                <w:szCs w:val="14"/>
                <w:b w:val="1"/>
                <w:bCs w:val="1"/>
                <w:color w:val="auto"/>
              </w:rPr>
              <w:t>Actual</w:t>
            </w:r>
          </w:p>
        </w:tc>
      </w:tr>
      <w:tr>
        <w:trPr>
          <w:trHeight w:val="175"/>
        </w:trPr>
        <w:tc>
          <w:tcPr>
            <w:tcW w:w="2820" w:type="dxa"/>
            <w:vAlign w:val="bottom"/>
            <w:shd w:val="clear" w:color="auto" w:fill="B2EEDE"/>
          </w:tcPr>
          <w:p>
            <w:pPr>
              <w:spacing w:after="0"/>
              <w:rPr>
                <w:sz w:val="15"/>
                <w:szCs w:val="15"/>
                <w:color w:val="auto"/>
              </w:rPr>
            </w:pPr>
          </w:p>
        </w:tc>
        <w:tc>
          <w:tcPr>
            <w:tcW w:w="680" w:type="dxa"/>
            <w:vAlign w:val="bottom"/>
            <w:shd w:val="clear" w:color="auto" w:fill="B2EEDE"/>
          </w:tcPr>
          <w:p>
            <w:pPr>
              <w:spacing w:after="0"/>
              <w:rPr>
                <w:sz w:val="15"/>
                <w:szCs w:val="15"/>
                <w:color w:val="auto"/>
              </w:rPr>
            </w:pPr>
          </w:p>
        </w:tc>
        <w:tc>
          <w:tcPr>
            <w:tcW w:w="520" w:type="dxa"/>
            <w:vAlign w:val="bottom"/>
            <w:shd w:val="clear" w:color="auto" w:fill="B2EEDE"/>
          </w:tcPr>
          <w:p>
            <w:pPr>
              <w:spacing w:after="0"/>
              <w:rPr>
                <w:sz w:val="15"/>
                <w:szCs w:val="15"/>
                <w:color w:val="auto"/>
              </w:rPr>
            </w:pPr>
          </w:p>
        </w:tc>
        <w:tc>
          <w:tcPr>
            <w:tcW w:w="320" w:type="dxa"/>
            <w:vAlign w:val="bottom"/>
            <w:shd w:val="clear" w:color="auto" w:fill="B2EEDE"/>
          </w:tcPr>
          <w:p>
            <w:pPr>
              <w:spacing w:after="0"/>
              <w:rPr>
                <w:sz w:val="15"/>
                <w:szCs w:val="15"/>
                <w:color w:val="auto"/>
              </w:rPr>
            </w:pPr>
          </w:p>
        </w:tc>
        <w:tc>
          <w:tcPr>
            <w:tcW w:w="800" w:type="dxa"/>
            <w:vAlign w:val="bottom"/>
            <w:shd w:val="clear" w:color="auto" w:fill="B2EEDE"/>
          </w:tcPr>
          <w:p>
            <w:pPr>
              <w:spacing w:after="0"/>
              <w:rPr>
                <w:sz w:val="15"/>
                <w:szCs w:val="15"/>
                <w:color w:val="auto"/>
              </w:rPr>
            </w:pPr>
          </w:p>
        </w:tc>
        <w:tc>
          <w:tcPr>
            <w:tcW w:w="420" w:type="dxa"/>
            <w:vAlign w:val="bottom"/>
            <w:shd w:val="clear" w:color="auto" w:fill="B2EEDE"/>
          </w:tcPr>
          <w:p>
            <w:pPr>
              <w:spacing w:after="0"/>
              <w:rPr>
                <w:sz w:val="15"/>
                <w:szCs w:val="15"/>
                <w:color w:val="auto"/>
              </w:rPr>
            </w:pPr>
          </w:p>
        </w:tc>
        <w:tc>
          <w:tcPr>
            <w:tcW w:w="740" w:type="dxa"/>
            <w:vAlign w:val="bottom"/>
            <w:shd w:val="clear" w:color="auto" w:fill="B2EEDE"/>
          </w:tcPr>
          <w:p>
            <w:pPr>
              <w:spacing w:after="0"/>
              <w:rPr>
                <w:sz w:val="15"/>
                <w:szCs w:val="15"/>
                <w:color w:val="auto"/>
              </w:rPr>
            </w:pPr>
          </w:p>
        </w:tc>
        <w:tc>
          <w:tcPr>
            <w:tcW w:w="420" w:type="dxa"/>
            <w:vAlign w:val="bottom"/>
            <w:shd w:val="clear" w:color="auto" w:fill="B2EEDE"/>
          </w:tcPr>
          <w:p>
            <w:pPr>
              <w:spacing w:after="0"/>
              <w:rPr>
                <w:sz w:val="15"/>
                <w:szCs w:val="15"/>
                <w:color w:val="auto"/>
              </w:rPr>
            </w:pPr>
          </w:p>
        </w:tc>
        <w:tc>
          <w:tcPr>
            <w:tcW w:w="820" w:type="dxa"/>
            <w:vAlign w:val="bottom"/>
            <w:shd w:val="clear" w:color="auto" w:fill="B2EEDE"/>
          </w:tcPr>
          <w:p>
            <w:pPr>
              <w:spacing w:after="0"/>
              <w:rPr>
                <w:sz w:val="15"/>
                <w:szCs w:val="15"/>
                <w:color w:val="auto"/>
              </w:rPr>
            </w:pPr>
          </w:p>
        </w:tc>
        <w:tc>
          <w:tcPr>
            <w:tcW w:w="780" w:type="dxa"/>
            <w:vAlign w:val="bottom"/>
            <w:shd w:val="clear" w:color="auto" w:fill="B2EEDE"/>
          </w:tcPr>
          <w:p>
            <w:pPr>
              <w:spacing w:after="0"/>
              <w:rPr>
                <w:sz w:val="15"/>
                <w:szCs w:val="15"/>
                <w:color w:val="auto"/>
              </w:rPr>
            </w:pPr>
          </w:p>
        </w:tc>
        <w:tc>
          <w:tcPr>
            <w:tcW w:w="280" w:type="dxa"/>
            <w:vAlign w:val="bottom"/>
            <w:shd w:val="clear" w:color="auto" w:fill="B2EEDE"/>
          </w:tcPr>
          <w:p>
            <w:pPr>
              <w:spacing w:after="0"/>
              <w:rPr>
                <w:sz w:val="15"/>
                <w:szCs w:val="15"/>
                <w:color w:val="auto"/>
              </w:rPr>
            </w:pPr>
          </w:p>
        </w:tc>
        <w:tc>
          <w:tcPr>
            <w:tcW w:w="800" w:type="dxa"/>
            <w:vAlign w:val="bottom"/>
            <w:shd w:val="clear" w:color="auto" w:fill="B2EEDE"/>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76"/>
        </w:trPr>
        <w:tc>
          <w:tcPr>
            <w:tcW w:w="2820" w:type="dxa"/>
            <w:vAlign w:val="bottom"/>
            <w:shd w:val="clear" w:color="auto" w:fill="B2EEDE"/>
          </w:tcPr>
          <w:p>
            <w:pPr>
              <w:spacing w:after="0"/>
              <w:rPr>
                <w:sz w:val="15"/>
                <w:szCs w:val="15"/>
                <w:color w:val="auto"/>
              </w:rPr>
            </w:pPr>
          </w:p>
        </w:tc>
        <w:tc>
          <w:tcPr>
            <w:tcW w:w="680" w:type="dxa"/>
            <w:vAlign w:val="bottom"/>
            <w:shd w:val="clear" w:color="auto" w:fill="B2EEDE"/>
          </w:tcPr>
          <w:p>
            <w:pPr>
              <w:spacing w:after="0"/>
              <w:rPr>
                <w:sz w:val="15"/>
                <w:szCs w:val="15"/>
                <w:color w:val="auto"/>
              </w:rPr>
            </w:pPr>
          </w:p>
        </w:tc>
        <w:tc>
          <w:tcPr>
            <w:tcW w:w="520" w:type="dxa"/>
            <w:vAlign w:val="bottom"/>
            <w:shd w:val="clear" w:color="auto" w:fill="B2EEDE"/>
          </w:tcPr>
          <w:p>
            <w:pPr>
              <w:spacing w:after="0"/>
              <w:rPr>
                <w:sz w:val="15"/>
                <w:szCs w:val="15"/>
                <w:color w:val="auto"/>
              </w:rPr>
            </w:pPr>
          </w:p>
        </w:tc>
        <w:tc>
          <w:tcPr>
            <w:tcW w:w="320" w:type="dxa"/>
            <w:vAlign w:val="bottom"/>
            <w:shd w:val="clear" w:color="auto" w:fill="B2EEDE"/>
          </w:tcPr>
          <w:p>
            <w:pPr>
              <w:spacing w:after="0"/>
              <w:rPr>
                <w:sz w:val="15"/>
                <w:szCs w:val="15"/>
                <w:color w:val="auto"/>
              </w:rPr>
            </w:pPr>
          </w:p>
        </w:tc>
        <w:tc>
          <w:tcPr>
            <w:tcW w:w="800" w:type="dxa"/>
            <w:vAlign w:val="bottom"/>
            <w:shd w:val="clear" w:color="auto" w:fill="B2EEDE"/>
          </w:tcPr>
          <w:p>
            <w:pPr>
              <w:ind w:left="40"/>
              <w:spacing w:after="0"/>
              <w:rPr>
                <w:sz w:val="20"/>
                <w:szCs w:val="20"/>
                <w:color w:val="auto"/>
              </w:rPr>
            </w:pPr>
            <w:r>
              <w:rPr>
                <w:rFonts w:ascii="Arial" w:cs="Arial" w:eastAsia="Arial" w:hAnsi="Arial"/>
                <w:sz w:val="14"/>
                <w:szCs w:val="14"/>
                <w:b w:val="1"/>
                <w:bCs w:val="1"/>
                <w:color w:val="auto"/>
              </w:rPr>
              <w:t>Threshold</w:t>
            </w:r>
          </w:p>
        </w:tc>
        <w:tc>
          <w:tcPr>
            <w:tcW w:w="420" w:type="dxa"/>
            <w:vAlign w:val="bottom"/>
            <w:shd w:val="clear" w:color="auto" w:fill="B2EEDE"/>
          </w:tcPr>
          <w:p>
            <w:pPr>
              <w:spacing w:after="0"/>
              <w:rPr>
                <w:sz w:val="15"/>
                <w:szCs w:val="15"/>
                <w:color w:val="auto"/>
              </w:rPr>
            </w:pPr>
          </w:p>
        </w:tc>
        <w:tc>
          <w:tcPr>
            <w:tcW w:w="740" w:type="dxa"/>
            <w:vAlign w:val="bottom"/>
            <w:shd w:val="clear" w:color="auto" w:fill="B2EEDE"/>
          </w:tcPr>
          <w:p>
            <w:pPr>
              <w:ind w:left="140"/>
              <w:spacing w:after="0"/>
              <w:rPr>
                <w:sz w:val="20"/>
                <w:szCs w:val="20"/>
                <w:color w:val="auto"/>
              </w:rPr>
            </w:pPr>
            <w:r>
              <w:rPr>
                <w:rFonts w:ascii="Arial" w:cs="Arial" w:eastAsia="Arial" w:hAnsi="Arial"/>
                <w:sz w:val="14"/>
                <w:szCs w:val="14"/>
                <w:b w:val="1"/>
                <w:bCs w:val="1"/>
                <w:color w:val="auto"/>
              </w:rPr>
              <w:t>Target</w:t>
            </w:r>
          </w:p>
        </w:tc>
        <w:tc>
          <w:tcPr>
            <w:tcW w:w="420" w:type="dxa"/>
            <w:vAlign w:val="bottom"/>
            <w:shd w:val="clear" w:color="auto" w:fill="B2EEDE"/>
          </w:tcPr>
          <w:p>
            <w:pPr>
              <w:spacing w:after="0"/>
              <w:rPr>
                <w:sz w:val="15"/>
                <w:szCs w:val="15"/>
                <w:color w:val="auto"/>
              </w:rPr>
            </w:pPr>
          </w:p>
        </w:tc>
        <w:tc>
          <w:tcPr>
            <w:tcW w:w="820" w:type="dxa"/>
            <w:vAlign w:val="bottom"/>
            <w:shd w:val="clear" w:color="auto" w:fill="B2EEDE"/>
          </w:tcPr>
          <w:p>
            <w:pPr>
              <w:ind w:left="60"/>
              <w:spacing w:after="0"/>
              <w:rPr>
                <w:sz w:val="20"/>
                <w:szCs w:val="20"/>
                <w:color w:val="auto"/>
              </w:rPr>
            </w:pPr>
            <w:r>
              <w:rPr>
                <w:rFonts w:ascii="Arial" w:cs="Arial" w:eastAsia="Arial" w:hAnsi="Arial"/>
                <w:sz w:val="14"/>
                <w:szCs w:val="14"/>
                <w:b w:val="1"/>
                <w:bCs w:val="1"/>
                <w:color w:val="auto"/>
              </w:rPr>
              <w:t>Maximum</w:t>
            </w:r>
          </w:p>
        </w:tc>
        <w:tc>
          <w:tcPr>
            <w:tcW w:w="1060" w:type="dxa"/>
            <w:vAlign w:val="bottom"/>
            <w:gridSpan w:val="2"/>
            <w:shd w:val="clear" w:color="auto" w:fill="B2EEDE"/>
          </w:tcPr>
          <w:p>
            <w:pPr>
              <w:ind w:left="340"/>
              <w:spacing w:after="0"/>
              <w:rPr>
                <w:sz w:val="20"/>
                <w:szCs w:val="20"/>
                <w:color w:val="auto"/>
              </w:rPr>
            </w:pPr>
            <w:r>
              <w:rPr>
                <w:rFonts w:ascii="Arial" w:cs="Arial" w:eastAsia="Arial" w:hAnsi="Arial"/>
                <w:sz w:val="14"/>
                <w:szCs w:val="14"/>
                <w:b w:val="1"/>
                <w:bCs w:val="1"/>
                <w:color w:val="auto"/>
              </w:rPr>
              <w:t>Actual</w:t>
            </w:r>
          </w:p>
        </w:tc>
        <w:tc>
          <w:tcPr>
            <w:tcW w:w="800" w:type="dxa"/>
            <w:vAlign w:val="bottom"/>
            <w:shd w:val="clear" w:color="auto" w:fill="B2EEDE"/>
          </w:tcPr>
          <w:p>
            <w:pPr>
              <w:ind w:left="60"/>
              <w:spacing w:after="0"/>
              <w:rPr>
                <w:sz w:val="20"/>
                <w:szCs w:val="20"/>
                <w:color w:val="auto"/>
              </w:rPr>
            </w:pPr>
            <w:r>
              <w:rPr>
                <w:rFonts w:ascii="Arial" w:cs="Arial" w:eastAsia="Arial" w:hAnsi="Arial"/>
                <w:sz w:val="14"/>
                <w:szCs w:val="14"/>
                <w:b w:val="1"/>
                <w:bCs w:val="1"/>
                <w:color w:val="auto"/>
              </w:rPr>
              <w:t>Average</w:t>
            </w:r>
          </w:p>
        </w:tc>
      </w:tr>
      <w:tr>
        <w:trPr>
          <w:trHeight w:val="225"/>
        </w:trPr>
        <w:tc>
          <w:tcPr>
            <w:tcW w:w="282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Measure</w:t>
            </w:r>
          </w:p>
        </w:tc>
        <w:tc>
          <w:tcPr>
            <w:tcW w:w="6580" w:type="dxa"/>
            <w:vAlign w:val="bottom"/>
            <w:tcBorders>
              <w:bottom w:val="single" w:sz="8" w:color="auto"/>
            </w:tcBorders>
            <w:gridSpan w:val="11"/>
            <w:shd w:val="clear" w:color="auto" w:fill="B2EEDE"/>
          </w:tcPr>
          <w:p>
            <w:pPr>
              <w:ind w:left="40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Weighting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(50% Payout)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(100% Payout)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(200% Payout)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Results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Funding  </w:t>
            </w:r>
            <w:r>
              <w:rPr>
                <w:rFonts w:ascii="Arial" w:cs="Arial" w:eastAsia="Arial" w:hAnsi="Arial"/>
                <w:sz w:val="26"/>
                <w:szCs w:val="26"/>
                <w:b w:val="1"/>
                <w:bCs w:val="1"/>
                <w:color w:val="auto"/>
                <w:vertAlign w:val="subscript"/>
              </w:rPr>
              <w:t>​</w:t>
            </w:r>
          </w:p>
        </w:tc>
      </w:tr>
      <w:tr>
        <w:trPr>
          <w:trHeight w:val="250"/>
        </w:trPr>
        <w:tc>
          <w:tcPr>
            <w:tcW w:w="282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Adjusted EBITDA</w:t>
            </w:r>
            <w:r>
              <w:rPr>
                <w:rFonts w:ascii="Arial" w:cs="Arial" w:eastAsia="Arial" w:hAnsi="Arial"/>
                <w:sz w:val="17"/>
                <w:szCs w:val="17"/>
                <w:color w:val="auto"/>
                <w:vertAlign w:val="superscript"/>
              </w:rPr>
              <w:t>(1)</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$222</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auto"/>
            </w:tcBorders>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$261</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auto"/>
            </w:tcBorders>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$300</w:t>
            </w:r>
          </w:p>
        </w:tc>
        <w:tc>
          <w:tcPr>
            <w:tcW w:w="78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$296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94.2%</w:t>
            </w:r>
            <w:r>
              <w:rPr>
                <w:rFonts w:ascii="Arial" w:cs="Arial" w:eastAsia="Arial" w:hAnsi="Arial"/>
                <w:sz w:val="28"/>
                <w:szCs w:val="28"/>
                <w:color w:val="auto"/>
                <w:vertAlign w:val="subscript"/>
              </w:rPr>
              <w:t>​​</w:t>
            </w:r>
          </w:p>
        </w:tc>
      </w:tr>
      <w:tr>
        <w:trPr>
          <w:trHeight w:val="250"/>
        </w:trPr>
        <w:tc>
          <w:tcPr>
            <w:tcW w:w="282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Adjusted Operating Cash Flow</w:t>
            </w:r>
            <w:r>
              <w:rPr>
                <w:rFonts w:ascii="Arial" w:cs="Arial" w:eastAsia="Arial" w:hAnsi="Arial"/>
                <w:sz w:val="17"/>
                <w:szCs w:val="17"/>
                <w:color w:val="auto"/>
                <w:vertAlign w:val="superscript"/>
              </w:rPr>
              <w:t>(1)</w:t>
            </w:r>
          </w:p>
        </w:tc>
        <w:tc>
          <w:tcPr>
            <w:tcW w:w="6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w:t>
            </w:r>
          </w:p>
        </w:tc>
        <w:tc>
          <w:tcPr>
            <w:tcW w:w="3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$156</w:t>
            </w:r>
          </w:p>
        </w:tc>
        <w:tc>
          <w:tcPr>
            <w:tcW w:w="4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auto"/>
            </w:tcBorders>
            <w:shd w:val="clear" w:color="auto" w:fill="E5E5E5"/>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$183</w:t>
            </w:r>
          </w:p>
        </w:tc>
        <w:tc>
          <w:tcPr>
            <w:tcW w:w="4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auto"/>
            </w:tcBorders>
            <w:shd w:val="clear" w:color="auto" w:fill="E5E5E5"/>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$ 211</w:t>
            </w:r>
          </w:p>
        </w:tc>
        <w:tc>
          <w:tcPr>
            <w:tcW w:w="780" w:type="dxa"/>
            <w:vAlign w:val="bottom"/>
            <w:tcBorders>
              <w:bottom w:val="single" w:sz="8" w:color="auto"/>
            </w:tcBorders>
            <w:shd w:val="clear" w:color="auto" w:fill="E5E5E5"/>
          </w:tcPr>
          <w:p>
            <w:pPr>
              <w:ind w:left="100"/>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$343</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100.0%</w:t>
            </w:r>
            <w:r>
              <w:rPr>
                <w:rFonts w:ascii="Arial" w:cs="Arial" w:eastAsia="Arial" w:hAnsi="Arial"/>
                <w:sz w:val="28"/>
                <w:szCs w:val="28"/>
                <w:color w:val="auto"/>
                <w:vertAlign w:val="subscript"/>
              </w:rPr>
              <w:t>​​</w:t>
            </w:r>
          </w:p>
        </w:tc>
      </w:tr>
      <w:tr>
        <w:trPr>
          <w:trHeight w:val="237"/>
        </w:trPr>
        <w:tc>
          <w:tcPr>
            <w:tcW w:w="28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 ​   ​</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   ​</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 ​   ​</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 ​ ​</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194.2%​​</w:t>
            </w:r>
          </w:p>
        </w:tc>
      </w:tr>
    </w:tbl>
    <w:p>
      <w:pPr>
        <w:spacing w:after="0" w:line="149" w:lineRule="exact"/>
        <w:rPr>
          <w:sz w:val="20"/>
          <w:szCs w:val="20"/>
          <w:color w:val="auto"/>
        </w:rPr>
      </w:pPr>
    </w:p>
    <w:p>
      <w:pPr>
        <w:ind w:left="1040" w:hanging="368"/>
        <w:spacing w:after="0"/>
        <w:tabs>
          <w:tab w:leader="none" w:pos="10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Adjusted EBITDA and Adjusted Operating Cash Flow are non-GAAP financial measures that are used for compensation purposes.</w:t>
      </w:r>
    </w:p>
    <w:p>
      <w:pPr>
        <w:spacing w:after="0" w:line="2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514B"/>
        </w:rPr>
        <w:t>2025 STIP Performance Measures (Post-Merger Portion of Fiscal 2025)</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080" w:type="dxa"/>
            <w:vAlign w:val="bottom"/>
            <w:shd w:val="clear" w:color="auto" w:fill="B2EEDE"/>
          </w:tcPr>
          <w:p>
            <w:pPr>
              <w:spacing w:after="0"/>
              <w:rPr>
                <w:sz w:val="17"/>
                <w:szCs w:val="17"/>
                <w:color w:val="auto"/>
              </w:rPr>
            </w:pPr>
          </w:p>
        </w:tc>
        <w:tc>
          <w:tcPr>
            <w:tcW w:w="360" w:type="dxa"/>
            <w:vAlign w:val="bottom"/>
            <w:shd w:val="clear" w:color="auto" w:fill="B2EEDE"/>
          </w:tcPr>
          <w:p>
            <w:pPr>
              <w:spacing w:after="0"/>
              <w:rPr>
                <w:sz w:val="17"/>
                <w:szCs w:val="17"/>
                <w:color w:val="auto"/>
              </w:rPr>
            </w:pPr>
          </w:p>
        </w:tc>
        <w:tc>
          <w:tcPr>
            <w:tcW w:w="520" w:type="dxa"/>
            <w:vAlign w:val="bottom"/>
            <w:shd w:val="clear" w:color="auto" w:fill="B2EEDE"/>
          </w:tcPr>
          <w:p>
            <w:pPr>
              <w:spacing w:after="0"/>
              <w:rPr>
                <w:sz w:val="17"/>
                <w:szCs w:val="17"/>
                <w:color w:val="auto"/>
              </w:rPr>
            </w:pPr>
          </w:p>
        </w:tc>
        <w:tc>
          <w:tcPr>
            <w:tcW w:w="300" w:type="dxa"/>
            <w:vAlign w:val="bottom"/>
            <w:shd w:val="clear" w:color="auto" w:fill="B2EEDE"/>
          </w:tcPr>
          <w:p>
            <w:pPr>
              <w:spacing w:after="0"/>
              <w:rPr>
                <w:sz w:val="17"/>
                <w:szCs w:val="17"/>
                <w:color w:val="auto"/>
              </w:rPr>
            </w:pPr>
          </w:p>
        </w:tc>
        <w:tc>
          <w:tcPr>
            <w:tcW w:w="800" w:type="dxa"/>
            <w:vAlign w:val="bottom"/>
            <w:shd w:val="clear" w:color="auto" w:fill="B2EEDE"/>
          </w:tcPr>
          <w:p>
            <w:pPr>
              <w:spacing w:after="0"/>
              <w:rPr>
                <w:sz w:val="17"/>
                <w:szCs w:val="17"/>
                <w:color w:val="auto"/>
              </w:rPr>
            </w:pPr>
          </w:p>
        </w:tc>
        <w:tc>
          <w:tcPr>
            <w:tcW w:w="340" w:type="dxa"/>
            <w:vAlign w:val="bottom"/>
            <w:shd w:val="clear" w:color="auto" w:fill="B2EEDE"/>
          </w:tcPr>
          <w:p>
            <w:pPr>
              <w:spacing w:after="0"/>
              <w:rPr>
                <w:sz w:val="17"/>
                <w:szCs w:val="17"/>
                <w:color w:val="auto"/>
              </w:rPr>
            </w:pPr>
          </w:p>
        </w:tc>
        <w:tc>
          <w:tcPr>
            <w:tcW w:w="840" w:type="dxa"/>
            <w:vAlign w:val="bottom"/>
            <w:shd w:val="clear" w:color="auto" w:fill="B2EEDE"/>
          </w:tcPr>
          <w:p>
            <w:pPr>
              <w:spacing w:after="0"/>
              <w:rPr>
                <w:sz w:val="17"/>
                <w:szCs w:val="17"/>
                <w:color w:val="auto"/>
              </w:rPr>
            </w:pPr>
          </w:p>
        </w:tc>
        <w:tc>
          <w:tcPr>
            <w:tcW w:w="340" w:type="dxa"/>
            <w:vAlign w:val="bottom"/>
            <w:shd w:val="clear" w:color="auto" w:fill="B2EEDE"/>
          </w:tcPr>
          <w:p>
            <w:pPr>
              <w:spacing w:after="0"/>
              <w:rPr>
                <w:sz w:val="17"/>
                <w:szCs w:val="17"/>
                <w:color w:val="auto"/>
              </w:rPr>
            </w:pPr>
          </w:p>
        </w:tc>
        <w:tc>
          <w:tcPr>
            <w:tcW w:w="840" w:type="dxa"/>
            <w:vAlign w:val="bottom"/>
            <w:shd w:val="clear" w:color="auto" w:fill="B2EEDE"/>
          </w:tcPr>
          <w:p>
            <w:pPr>
              <w:spacing w:after="0"/>
              <w:rPr>
                <w:sz w:val="17"/>
                <w:szCs w:val="17"/>
                <w:color w:val="auto"/>
              </w:rPr>
            </w:pPr>
          </w:p>
        </w:tc>
        <w:tc>
          <w:tcPr>
            <w:tcW w:w="340" w:type="dxa"/>
            <w:vAlign w:val="bottom"/>
            <w:shd w:val="clear" w:color="auto" w:fill="B2EEDE"/>
          </w:tcPr>
          <w:p>
            <w:pPr>
              <w:spacing w:after="0"/>
              <w:rPr>
                <w:sz w:val="17"/>
                <w:szCs w:val="17"/>
                <w:color w:val="auto"/>
              </w:rPr>
            </w:pPr>
          </w:p>
        </w:tc>
        <w:tc>
          <w:tcPr>
            <w:tcW w:w="620" w:type="dxa"/>
            <w:vAlign w:val="bottom"/>
            <w:shd w:val="clear" w:color="auto" w:fill="B2EEDE"/>
          </w:tcPr>
          <w:p>
            <w:pPr>
              <w:spacing w:after="0"/>
              <w:rPr>
                <w:sz w:val="17"/>
                <w:szCs w:val="17"/>
                <w:color w:val="auto"/>
              </w:rPr>
            </w:pPr>
          </w:p>
        </w:tc>
        <w:tc>
          <w:tcPr>
            <w:tcW w:w="220" w:type="dxa"/>
            <w:vAlign w:val="bottom"/>
            <w:shd w:val="clear" w:color="auto" w:fill="B2EEDE"/>
          </w:tcPr>
          <w:p>
            <w:pPr>
              <w:spacing w:after="0"/>
              <w:rPr>
                <w:sz w:val="17"/>
                <w:szCs w:val="17"/>
                <w:color w:val="auto"/>
              </w:rPr>
            </w:pPr>
          </w:p>
        </w:tc>
        <w:tc>
          <w:tcPr>
            <w:tcW w:w="800" w:type="dxa"/>
            <w:vAlign w:val="bottom"/>
            <w:gridSpan w:val="2"/>
            <w:shd w:val="clear" w:color="auto" w:fill="B2EEDE"/>
          </w:tcPr>
          <w:p>
            <w:pPr>
              <w:ind w:left="1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6"/>
        </w:trPr>
        <w:tc>
          <w:tcPr>
            <w:tcW w:w="3080" w:type="dxa"/>
            <w:vAlign w:val="bottom"/>
            <w:shd w:val="clear" w:color="auto" w:fill="B2EEDE"/>
          </w:tcPr>
          <w:p>
            <w:pPr>
              <w:spacing w:after="0"/>
              <w:rPr>
                <w:sz w:val="15"/>
                <w:szCs w:val="15"/>
                <w:color w:val="auto"/>
              </w:rPr>
            </w:pPr>
          </w:p>
        </w:tc>
        <w:tc>
          <w:tcPr>
            <w:tcW w:w="360" w:type="dxa"/>
            <w:vAlign w:val="bottom"/>
            <w:shd w:val="clear" w:color="auto" w:fill="B2EEDE"/>
          </w:tcPr>
          <w:p>
            <w:pPr>
              <w:spacing w:after="0"/>
              <w:rPr>
                <w:sz w:val="15"/>
                <w:szCs w:val="15"/>
                <w:color w:val="auto"/>
              </w:rPr>
            </w:pPr>
          </w:p>
        </w:tc>
        <w:tc>
          <w:tcPr>
            <w:tcW w:w="520" w:type="dxa"/>
            <w:vAlign w:val="bottom"/>
            <w:shd w:val="clear" w:color="auto" w:fill="B2EEDE"/>
          </w:tcPr>
          <w:p>
            <w:pPr>
              <w:spacing w:after="0"/>
              <w:rPr>
                <w:sz w:val="15"/>
                <w:szCs w:val="15"/>
                <w:color w:val="auto"/>
              </w:rPr>
            </w:pPr>
          </w:p>
        </w:tc>
        <w:tc>
          <w:tcPr>
            <w:tcW w:w="300" w:type="dxa"/>
            <w:vAlign w:val="bottom"/>
            <w:shd w:val="clear" w:color="auto" w:fill="B2EEDE"/>
          </w:tcPr>
          <w:p>
            <w:pPr>
              <w:spacing w:after="0"/>
              <w:rPr>
                <w:sz w:val="15"/>
                <w:szCs w:val="15"/>
                <w:color w:val="auto"/>
              </w:rPr>
            </w:pPr>
          </w:p>
        </w:tc>
        <w:tc>
          <w:tcPr>
            <w:tcW w:w="80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Threshold</w:t>
            </w:r>
          </w:p>
        </w:tc>
        <w:tc>
          <w:tcPr>
            <w:tcW w:w="340" w:type="dxa"/>
            <w:vAlign w:val="bottom"/>
            <w:shd w:val="clear" w:color="auto" w:fill="B2EEDE"/>
          </w:tcPr>
          <w:p>
            <w:pPr>
              <w:spacing w:after="0"/>
              <w:rPr>
                <w:sz w:val="15"/>
                <w:szCs w:val="15"/>
                <w:color w:val="auto"/>
              </w:rPr>
            </w:pPr>
          </w:p>
        </w:tc>
        <w:tc>
          <w:tcPr>
            <w:tcW w:w="84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w w:val="98"/>
              </w:rPr>
              <w:t>Target</w:t>
            </w:r>
          </w:p>
        </w:tc>
        <w:tc>
          <w:tcPr>
            <w:tcW w:w="340" w:type="dxa"/>
            <w:vAlign w:val="bottom"/>
            <w:shd w:val="clear" w:color="auto" w:fill="B2EEDE"/>
          </w:tcPr>
          <w:p>
            <w:pPr>
              <w:spacing w:after="0"/>
              <w:rPr>
                <w:sz w:val="15"/>
                <w:szCs w:val="15"/>
                <w:color w:val="auto"/>
              </w:rPr>
            </w:pPr>
          </w:p>
        </w:tc>
        <w:tc>
          <w:tcPr>
            <w:tcW w:w="84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Maximum</w:t>
            </w:r>
          </w:p>
        </w:tc>
        <w:tc>
          <w:tcPr>
            <w:tcW w:w="340" w:type="dxa"/>
            <w:vAlign w:val="bottom"/>
            <w:shd w:val="clear" w:color="auto" w:fill="B2EEDE"/>
          </w:tcPr>
          <w:p>
            <w:pPr>
              <w:spacing w:after="0"/>
              <w:rPr>
                <w:sz w:val="15"/>
                <w:szCs w:val="15"/>
                <w:color w:val="auto"/>
              </w:rPr>
            </w:pPr>
          </w:p>
        </w:tc>
        <w:tc>
          <w:tcPr>
            <w:tcW w:w="62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Actual</w:t>
            </w:r>
          </w:p>
        </w:tc>
        <w:tc>
          <w:tcPr>
            <w:tcW w:w="220" w:type="dxa"/>
            <w:vAlign w:val="bottom"/>
            <w:shd w:val="clear" w:color="auto" w:fill="B2EEDE"/>
          </w:tcPr>
          <w:p>
            <w:pPr>
              <w:spacing w:after="0"/>
              <w:rPr>
                <w:sz w:val="15"/>
                <w:szCs w:val="15"/>
                <w:color w:val="auto"/>
              </w:rPr>
            </w:pPr>
          </w:p>
        </w:tc>
        <w:tc>
          <w:tcPr>
            <w:tcW w:w="800" w:type="dxa"/>
            <w:vAlign w:val="bottom"/>
            <w:gridSpan w:val="2"/>
            <w:shd w:val="clear" w:color="auto" w:fill="B2EEDE"/>
          </w:tcPr>
          <w:p>
            <w:pPr>
              <w:jc w:val="center"/>
              <w:ind w:right="4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3080" w:type="dxa"/>
            <w:vAlign w:val="bottom"/>
            <w:shd w:val="clear" w:color="auto" w:fill="B2EEDE"/>
          </w:tcPr>
          <w:p>
            <w:pPr>
              <w:spacing w:after="0"/>
              <w:rPr>
                <w:sz w:val="15"/>
                <w:szCs w:val="15"/>
                <w:color w:val="auto"/>
              </w:rPr>
            </w:pPr>
          </w:p>
        </w:tc>
        <w:tc>
          <w:tcPr>
            <w:tcW w:w="360" w:type="dxa"/>
            <w:vAlign w:val="bottom"/>
            <w:shd w:val="clear" w:color="auto" w:fill="B2EEDE"/>
          </w:tcPr>
          <w:p>
            <w:pPr>
              <w:spacing w:after="0"/>
              <w:rPr>
                <w:sz w:val="15"/>
                <w:szCs w:val="15"/>
                <w:color w:val="auto"/>
              </w:rPr>
            </w:pPr>
          </w:p>
        </w:tc>
        <w:tc>
          <w:tcPr>
            <w:tcW w:w="520" w:type="dxa"/>
            <w:vAlign w:val="bottom"/>
            <w:shd w:val="clear" w:color="auto" w:fill="B2EEDE"/>
          </w:tcPr>
          <w:p>
            <w:pPr>
              <w:spacing w:after="0"/>
              <w:rPr>
                <w:sz w:val="15"/>
                <w:szCs w:val="15"/>
                <w:color w:val="auto"/>
              </w:rPr>
            </w:pPr>
          </w:p>
        </w:tc>
        <w:tc>
          <w:tcPr>
            <w:tcW w:w="300" w:type="dxa"/>
            <w:vAlign w:val="bottom"/>
            <w:shd w:val="clear" w:color="auto" w:fill="B2EEDE"/>
          </w:tcPr>
          <w:p>
            <w:pPr>
              <w:spacing w:after="0"/>
              <w:rPr>
                <w:sz w:val="15"/>
                <w:szCs w:val="15"/>
                <w:color w:val="auto"/>
              </w:rPr>
            </w:pPr>
          </w:p>
        </w:tc>
        <w:tc>
          <w:tcPr>
            <w:tcW w:w="800" w:type="dxa"/>
            <w:vAlign w:val="bottom"/>
            <w:vMerge w:val="continue"/>
            <w:shd w:val="clear" w:color="auto" w:fill="B2EEDE"/>
          </w:tcPr>
          <w:p>
            <w:pPr>
              <w:spacing w:after="0"/>
              <w:rPr>
                <w:sz w:val="15"/>
                <w:szCs w:val="15"/>
                <w:color w:val="auto"/>
              </w:rPr>
            </w:pPr>
          </w:p>
        </w:tc>
        <w:tc>
          <w:tcPr>
            <w:tcW w:w="340" w:type="dxa"/>
            <w:vAlign w:val="bottom"/>
            <w:shd w:val="clear" w:color="auto" w:fill="B2EEDE"/>
          </w:tcPr>
          <w:p>
            <w:pPr>
              <w:spacing w:after="0"/>
              <w:rPr>
                <w:sz w:val="15"/>
                <w:szCs w:val="15"/>
                <w:color w:val="auto"/>
              </w:rPr>
            </w:pPr>
          </w:p>
        </w:tc>
        <w:tc>
          <w:tcPr>
            <w:tcW w:w="840" w:type="dxa"/>
            <w:vAlign w:val="bottom"/>
            <w:vMerge w:val="continue"/>
            <w:shd w:val="clear" w:color="auto" w:fill="B2EEDE"/>
          </w:tcPr>
          <w:p>
            <w:pPr>
              <w:spacing w:after="0"/>
              <w:rPr>
                <w:sz w:val="15"/>
                <w:szCs w:val="15"/>
                <w:color w:val="auto"/>
              </w:rPr>
            </w:pPr>
          </w:p>
        </w:tc>
        <w:tc>
          <w:tcPr>
            <w:tcW w:w="340" w:type="dxa"/>
            <w:vAlign w:val="bottom"/>
            <w:shd w:val="clear" w:color="auto" w:fill="B2EEDE"/>
          </w:tcPr>
          <w:p>
            <w:pPr>
              <w:spacing w:after="0"/>
              <w:rPr>
                <w:sz w:val="15"/>
                <w:szCs w:val="15"/>
                <w:color w:val="auto"/>
              </w:rPr>
            </w:pPr>
          </w:p>
        </w:tc>
        <w:tc>
          <w:tcPr>
            <w:tcW w:w="840" w:type="dxa"/>
            <w:vAlign w:val="bottom"/>
            <w:vMerge w:val="continue"/>
            <w:shd w:val="clear" w:color="auto" w:fill="B2EEDE"/>
          </w:tcPr>
          <w:p>
            <w:pPr>
              <w:spacing w:after="0"/>
              <w:rPr>
                <w:sz w:val="15"/>
                <w:szCs w:val="15"/>
                <w:color w:val="auto"/>
              </w:rPr>
            </w:pPr>
          </w:p>
        </w:tc>
        <w:tc>
          <w:tcPr>
            <w:tcW w:w="340" w:type="dxa"/>
            <w:vAlign w:val="bottom"/>
            <w:shd w:val="clear" w:color="auto" w:fill="B2EEDE"/>
          </w:tcPr>
          <w:p>
            <w:pPr>
              <w:spacing w:after="0"/>
              <w:rPr>
                <w:sz w:val="15"/>
                <w:szCs w:val="15"/>
                <w:color w:val="auto"/>
              </w:rPr>
            </w:pPr>
          </w:p>
        </w:tc>
        <w:tc>
          <w:tcPr>
            <w:tcW w:w="620" w:type="dxa"/>
            <w:vAlign w:val="bottom"/>
            <w:vMerge w:val="continue"/>
            <w:shd w:val="clear" w:color="auto" w:fill="B2EEDE"/>
          </w:tcPr>
          <w:p>
            <w:pPr>
              <w:spacing w:after="0"/>
              <w:rPr>
                <w:sz w:val="15"/>
                <w:szCs w:val="15"/>
                <w:color w:val="auto"/>
              </w:rPr>
            </w:pPr>
          </w:p>
        </w:tc>
        <w:tc>
          <w:tcPr>
            <w:tcW w:w="220" w:type="dxa"/>
            <w:vAlign w:val="bottom"/>
            <w:shd w:val="clear" w:color="auto" w:fill="B2EEDE"/>
          </w:tcPr>
          <w:p>
            <w:pPr>
              <w:spacing w:after="0"/>
              <w:rPr>
                <w:sz w:val="15"/>
                <w:szCs w:val="15"/>
                <w:color w:val="auto"/>
              </w:rPr>
            </w:pPr>
          </w:p>
        </w:tc>
        <w:tc>
          <w:tcPr>
            <w:tcW w:w="800" w:type="dxa"/>
            <w:vAlign w:val="bottom"/>
            <w:gridSpan w:val="2"/>
            <w:shd w:val="clear" w:color="auto" w:fill="B2EEDE"/>
          </w:tcPr>
          <w:p>
            <w:pPr>
              <w:jc w:val="center"/>
              <w:ind w:right="46"/>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12"/>
        </w:trPr>
        <w:tc>
          <w:tcPr>
            <w:tcW w:w="3080" w:type="dxa"/>
            <w:vAlign w:val="bottom"/>
            <w:tcBorders>
              <w:bottom w:val="single" w:sz="8" w:color="auto"/>
            </w:tcBorders>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Measure</w:t>
            </w:r>
          </w:p>
        </w:tc>
        <w:tc>
          <w:tcPr>
            <w:tcW w:w="4680" w:type="dxa"/>
            <w:vAlign w:val="bottom"/>
            <w:tcBorders>
              <w:bottom w:val="single" w:sz="8" w:color="auto"/>
            </w:tcBorders>
            <w:gridSpan w:val="9"/>
            <w:shd w:val="clear" w:color="auto" w:fill="B2EEDE"/>
          </w:tcPr>
          <w:p>
            <w:pPr>
              <w:ind w:left="10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Weighting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(50% Payout)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(100% Payout)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(200% Payout) </w:t>
            </w:r>
            <w:r>
              <w:rPr>
                <w:rFonts w:ascii="Arial" w:cs="Arial" w:eastAsia="Arial" w:hAnsi="Arial"/>
                <w:sz w:val="24"/>
                <w:szCs w:val="24"/>
                <w:b w:val="1"/>
                <w:bCs w:val="1"/>
                <w:color w:val="auto"/>
                <w:vertAlign w:val="subscript"/>
              </w:rPr>
              <w:t>​ ​</w:t>
            </w:r>
          </w:p>
        </w:tc>
        <w:tc>
          <w:tcPr>
            <w:tcW w:w="62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Results</w:t>
            </w:r>
          </w:p>
        </w:tc>
        <w:tc>
          <w:tcPr>
            <w:tcW w:w="1020" w:type="dxa"/>
            <w:vAlign w:val="bottom"/>
            <w:tcBorders>
              <w:bottom w:val="single" w:sz="8" w:color="auto"/>
            </w:tcBorders>
            <w:gridSpan w:val="3"/>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Funding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Net Sales</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$687</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$809</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$930</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$857</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55.8%</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Adjusted EBITDA</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40%</w:t>
            </w:r>
          </w:p>
        </w:tc>
        <w:tc>
          <w:tcPr>
            <w:tcW w:w="3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$237</w:t>
            </w:r>
          </w:p>
        </w:tc>
        <w:tc>
          <w:tcPr>
            <w:tcW w:w="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w w:val="95"/>
              </w:rPr>
              <w:t>$278</w:t>
            </w:r>
          </w:p>
        </w:tc>
        <w:tc>
          <w:tcPr>
            <w:tcW w:w="3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$320</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rPr>
              <w:t>$336</w:t>
            </w:r>
          </w:p>
        </w:tc>
        <w:tc>
          <w:tcPr>
            <w:tcW w:w="2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15"/>
                <w:szCs w:val="15"/>
                <w:color w:val="auto"/>
              </w:rPr>
              <w:t>80.0%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Successful completion of the Separation</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​N/A</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Achieved</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​N/A</w:t>
            </w:r>
          </w:p>
        </w:tc>
        <w:tc>
          <w:tcPr>
            <w:tcW w:w="1180" w:type="dxa"/>
            <w:vAlign w:val="bottom"/>
            <w:tcBorders>
              <w:bottom w:val="single" w:sz="8" w:color="auto"/>
            </w:tcBorders>
            <w:gridSpan w:val="3"/>
          </w:tcPr>
          <w:p>
            <w:pPr>
              <w:ind w:left="10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Achieved </w:t>
            </w:r>
            <w:r>
              <w:rPr>
                <w:rFonts w:ascii="Arial" w:cs="Arial" w:eastAsia="Arial" w:hAnsi="Arial"/>
                <w:sz w:val="28"/>
                <w:szCs w:val="28"/>
                <w:color w:val="auto"/>
                <w:vertAlign w:val="subscript"/>
              </w:rPr>
              <w:t>​ ​</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20.0%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 ​   ​</w:t>
            </w:r>
          </w:p>
        </w:tc>
        <w:tc>
          <w:tcPr>
            <w:tcW w:w="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6"/>
                <w:szCs w:val="16"/>
                <w:color w:val="auto"/>
              </w:rPr>
              <w:t>​ ​   ​</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155.8%​​</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40" w:hanging="368"/>
        <w:spacing w:after="0"/>
        <w:tabs>
          <w:tab w:leader="none" w:pos="10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Adjusted EBITDA is a non-GAAP financial measure that is used for compensation purposes.</w:t>
      </w:r>
    </w:p>
    <w:p>
      <w:pPr>
        <w:spacing w:after="0" w:line="187" w:lineRule="exact"/>
        <w:rPr>
          <w:sz w:val="20"/>
          <w:szCs w:val="20"/>
          <w:color w:val="auto"/>
        </w:rPr>
      </w:pPr>
    </w:p>
    <w:p>
      <w:pPr>
        <w:ind w:left="680" w:right="160"/>
        <w:spacing w:after="0" w:line="262" w:lineRule="auto"/>
        <w:rPr>
          <w:sz w:val="20"/>
          <w:szCs w:val="20"/>
          <w:color w:val="auto"/>
        </w:rPr>
      </w:pPr>
      <w:r>
        <w:rPr>
          <w:rFonts w:ascii="Arial" w:cs="Arial" w:eastAsia="Arial" w:hAnsi="Arial"/>
          <w:sz w:val="16"/>
          <w:szCs w:val="16"/>
          <w:color w:val="auto"/>
        </w:rPr>
        <w:t>The actual results and corresponding funding levels summarized in the tables above were determined by the HRCC following the conclusion of fiscal 2025. The HRCC further approved that 2025 STIP payments to the NEOs except the CEO would be based on a Company achievement multiplier of 178.1% (a time-weighted blend of 194.2% for the pre-merger portion of fiscal 2025 and 155.8% for the post-merger portion of fiscal 2025). With respect to individual NEO performance, the Board and the HRCC individually, with input from our CEO on the performance of the other NEOs, considered that each of the NEOs contributed to the achievement of the 2025 STIP financial targets. Therefore, the Board and HRCC did not utilize the individual performance modifier as a means to increase or decrease any individual NEO’s 2025 STIP payout and applied a 100% individual performance modifier to each of the NEOs payout calculation.</w:t>
      </w:r>
    </w:p>
    <w:p>
      <w:pPr>
        <w:spacing w:after="0" w:line="148" w:lineRule="exact"/>
        <w:rPr>
          <w:sz w:val="20"/>
          <w:szCs w:val="20"/>
          <w:color w:val="auto"/>
        </w:rPr>
      </w:pPr>
    </w:p>
    <w:p>
      <w:pPr>
        <w:ind w:left="680" w:right="140"/>
        <w:spacing w:after="0" w:line="304" w:lineRule="auto"/>
        <w:rPr>
          <w:sz w:val="20"/>
          <w:szCs w:val="20"/>
          <w:color w:val="auto"/>
        </w:rPr>
      </w:pPr>
      <w:r>
        <w:rPr>
          <w:rFonts w:ascii="Arial" w:cs="Arial" w:eastAsia="Arial" w:hAnsi="Arial"/>
          <w:sz w:val="16"/>
          <w:szCs w:val="16"/>
          <w:color w:val="auto"/>
        </w:rPr>
        <w:t>The following table shows the HRCC-approved payout multiplier, individual performance modifier and final 2025 STIP payout for our NEOs, other than the CEO.</w:t>
      </w:r>
    </w:p>
    <w:p>
      <w:pPr>
        <w:spacing w:after="0" w:line="150"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514B"/>
        </w:rPr>
        <w:t>Fiscal 2025 STIP Payout (NEOs Other Than CEO)</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00" w:type="dxa"/>
            <w:vAlign w:val="bottom"/>
            <w:shd w:val="clear" w:color="auto" w:fill="B2EEDE"/>
          </w:tcPr>
          <w:p>
            <w:pPr>
              <w:spacing w:after="0"/>
              <w:rPr>
                <w:sz w:val="17"/>
                <w:szCs w:val="17"/>
                <w:color w:val="auto"/>
              </w:rPr>
            </w:pPr>
          </w:p>
        </w:tc>
        <w:tc>
          <w:tcPr>
            <w:tcW w:w="760" w:type="dxa"/>
            <w:vAlign w:val="bottom"/>
            <w:shd w:val="clear" w:color="auto" w:fill="B2EEDE"/>
          </w:tcPr>
          <w:p>
            <w:pPr>
              <w:spacing w:after="0"/>
              <w:rPr>
                <w:sz w:val="17"/>
                <w:szCs w:val="17"/>
                <w:color w:val="auto"/>
              </w:rPr>
            </w:pPr>
          </w:p>
        </w:tc>
        <w:tc>
          <w:tcPr>
            <w:tcW w:w="94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w w:val="99"/>
              </w:rPr>
              <w:t>Target Bonus</w:t>
            </w:r>
          </w:p>
        </w:tc>
        <w:tc>
          <w:tcPr>
            <w:tcW w:w="1260" w:type="dxa"/>
            <w:vAlign w:val="bottom"/>
            <w:vMerge w:val="restart"/>
            <w:shd w:val="clear" w:color="auto" w:fill="B2EEDE"/>
          </w:tcPr>
          <w:p>
            <w:pPr>
              <w:ind w:left="540"/>
              <w:spacing w:after="0"/>
              <w:rPr>
                <w:sz w:val="20"/>
                <w:szCs w:val="20"/>
                <w:color w:val="auto"/>
              </w:rPr>
            </w:pPr>
            <w:r>
              <w:rPr>
                <w:rFonts w:ascii="Arial" w:cs="Arial" w:eastAsia="Arial" w:hAnsi="Arial"/>
                <w:sz w:val="14"/>
                <w:szCs w:val="14"/>
                <w:b w:val="1"/>
                <w:bCs w:val="1"/>
                <w:color w:val="auto"/>
              </w:rPr>
              <w:t>Company</w:t>
            </w:r>
          </w:p>
        </w:tc>
        <w:tc>
          <w:tcPr>
            <w:tcW w:w="1860" w:type="dxa"/>
            <w:vAlign w:val="bottom"/>
            <w:gridSpan w:val="2"/>
            <w:vMerge w:val="restart"/>
            <w:shd w:val="clear" w:color="auto" w:fill="B2EEDE"/>
          </w:tcPr>
          <w:p>
            <w:pPr>
              <w:jc w:val="right"/>
              <w:ind w:right="489"/>
              <w:spacing w:after="0"/>
              <w:rPr>
                <w:sz w:val="20"/>
                <w:szCs w:val="20"/>
                <w:color w:val="auto"/>
              </w:rPr>
            </w:pPr>
            <w:r>
              <w:rPr>
                <w:rFonts w:ascii="Arial" w:cs="Arial" w:eastAsia="Arial" w:hAnsi="Arial"/>
                <w:sz w:val="14"/>
                <w:szCs w:val="14"/>
                <w:b w:val="1"/>
                <w:bCs w:val="1"/>
                <w:color w:val="auto"/>
              </w:rPr>
              <w:t>Preliminary</w:t>
            </w:r>
          </w:p>
        </w:tc>
        <w:tc>
          <w:tcPr>
            <w:tcW w:w="900" w:type="dxa"/>
            <w:vAlign w:val="bottom"/>
            <w:shd w:val="clear" w:color="auto" w:fill="B2EEDE"/>
          </w:tcPr>
          <w:p>
            <w:pPr>
              <w:jc w:val="right"/>
              <w:ind w:right="46"/>
              <w:spacing w:after="0"/>
              <w:rPr>
                <w:sz w:val="20"/>
                <w:szCs w:val="20"/>
                <w:color w:val="auto"/>
              </w:rPr>
            </w:pPr>
            <w:r>
              <w:rPr>
                <w:rFonts w:ascii="Arial" w:cs="Arial" w:eastAsia="Arial" w:hAnsi="Arial"/>
                <w:sz w:val="14"/>
                <w:szCs w:val="14"/>
                <w:b w:val="1"/>
                <w:bCs w:val="1"/>
                <w:color w:val="auto"/>
              </w:rPr>
              <w:t>Individual</w:t>
            </w:r>
          </w:p>
        </w:tc>
        <w:tc>
          <w:tcPr>
            <w:tcW w:w="1480" w:type="dxa"/>
            <w:vAlign w:val="bottom"/>
            <w:gridSpan w:val="2"/>
            <w:shd w:val="clear" w:color="auto" w:fill="B2EEDE"/>
          </w:tcPr>
          <w:p>
            <w:pPr>
              <w:jc w:val="right"/>
              <w:ind w:right="127"/>
              <w:spacing w:after="0"/>
              <w:rPr>
                <w:sz w:val="20"/>
                <w:szCs w:val="20"/>
                <w:color w:val="auto"/>
              </w:rPr>
            </w:pPr>
            <w:r>
              <w:rPr>
                <w:rFonts w:ascii="Arial" w:cs="Arial" w:eastAsia="Arial" w:hAnsi="Arial"/>
                <w:sz w:val="14"/>
                <w:szCs w:val="14"/>
                <w:b w:val="1"/>
                <w:bCs w:val="1"/>
                <w:color w:val="auto"/>
              </w:rPr>
              <w:t>Final 2025</w:t>
            </w:r>
          </w:p>
        </w:tc>
        <w:tc>
          <w:tcPr>
            <w:tcW w:w="0" w:type="dxa"/>
            <w:vAlign w:val="bottom"/>
          </w:tcPr>
          <w:p>
            <w:pPr>
              <w:spacing w:after="0"/>
              <w:rPr>
                <w:sz w:val="1"/>
                <w:szCs w:val="1"/>
                <w:color w:val="auto"/>
              </w:rPr>
            </w:pPr>
          </w:p>
        </w:tc>
      </w:tr>
      <w:tr>
        <w:trPr>
          <w:trHeight w:val="176"/>
        </w:trPr>
        <w:tc>
          <w:tcPr>
            <w:tcW w:w="2200" w:type="dxa"/>
            <w:vAlign w:val="bottom"/>
            <w:shd w:val="clear" w:color="auto" w:fill="B2EEDE"/>
          </w:tcPr>
          <w:p>
            <w:pPr>
              <w:spacing w:after="0"/>
              <w:rPr>
                <w:sz w:val="15"/>
                <w:szCs w:val="15"/>
                <w:color w:val="auto"/>
              </w:rPr>
            </w:pPr>
          </w:p>
        </w:tc>
        <w:tc>
          <w:tcPr>
            <w:tcW w:w="760" w:type="dxa"/>
            <w:vAlign w:val="bottom"/>
            <w:shd w:val="clear" w:color="auto" w:fill="B2EEDE"/>
          </w:tcPr>
          <w:p>
            <w:pPr>
              <w:spacing w:after="0"/>
              <w:rPr>
                <w:sz w:val="15"/>
                <w:szCs w:val="15"/>
                <w:color w:val="auto"/>
              </w:rPr>
            </w:pPr>
          </w:p>
        </w:tc>
        <w:tc>
          <w:tcPr>
            <w:tcW w:w="940" w:type="dxa"/>
            <w:vAlign w:val="bottom"/>
            <w:vMerge w:val="continue"/>
            <w:shd w:val="clear" w:color="auto" w:fill="B2EEDE"/>
          </w:tcPr>
          <w:p>
            <w:pPr>
              <w:spacing w:after="0"/>
              <w:rPr>
                <w:sz w:val="15"/>
                <w:szCs w:val="15"/>
                <w:color w:val="auto"/>
              </w:rPr>
            </w:pPr>
          </w:p>
        </w:tc>
        <w:tc>
          <w:tcPr>
            <w:tcW w:w="1260" w:type="dxa"/>
            <w:vAlign w:val="bottom"/>
            <w:vMerge w:val="continue"/>
            <w:shd w:val="clear" w:color="auto" w:fill="B2EEDE"/>
          </w:tcPr>
          <w:p>
            <w:pPr>
              <w:spacing w:after="0"/>
              <w:rPr>
                <w:sz w:val="15"/>
                <w:szCs w:val="15"/>
                <w:color w:val="auto"/>
              </w:rPr>
            </w:pPr>
          </w:p>
        </w:tc>
        <w:tc>
          <w:tcPr>
            <w:tcW w:w="1860" w:type="dxa"/>
            <w:vAlign w:val="bottom"/>
            <w:gridSpan w:val="2"/>
            <w:vMerge w:val="continue"/>
            <w:shd w:val="clear" w:color="auto" w:fill="B2EEDE"/>
          </w:tcPr>
          <w:p>
            <w:pPr>
              <w:spacing w:after="0"/>
              <w:rPr>
                <w:sz w:val="15"/>
                <w:szCs w:val="15"/>
                <w:color w:val="auto"/>
              </w:rPr>
            </w:pPr>
          </w:p>
        </w:tc>
        <w:tc>
          <w:tcPr>
            <w:tcW w:w="900" w:type="dxa"/>
            <w:vAlign w:val="bottom"/>
            <w:shd w:val="clear" w:color="auto" w:fill="B2EEDE"/>
          </w:tcPr>
          <w:p>
            <w:pPr>
              <w:jc w:val="right"/>
              <w:spacing w:after="0"/>
              <w:rPr>
                <w:sz w:val="20"/>
                <w:szCs w:val="20"/>
                <w:color w:val="auto"/>
              </w:rPr>
            </w:pPr>
            <w:r>
              <w:rPr>
                <w:rFonts w:ascii="Arial" w:cs="Arial" w:eastAsia="Arial" w:hAnsi="Arial"/>
                <w:sz w:val="14"/>
                <w:szCs w:val="14"/>
                <w:b w:val="1"/>
                <w:bCs w:val="1"/>
                <w:color w:val="auto"/>
              </w:rPr>
              <w:t>Performance</w:t>
            </w:r>
          </w:p>
        </w:tc>
        <w:tc>
          <w:tcPr>
            <w:tcW w:w="660" w:type="dxa"/>
            <w:vAlign w:val="bottom"/>
            <w:shd w:val="clear" w:color="auto" w:fill="B2EEDE"/>
          </w:tcPr>
          <w:p>
            <w:pPr>
              <w:spacing w:after="0"/>
              <w:rPr>
                <w:sz w:val="15"/>
                <w:szCs w:val="15"/>
                <w:color w:val="auto"/>
              </w:rPr>
            </w:pPr>
          </w:p>
        </w:tc>
        <w:tc>
          <w:tcPr>
            <w:tcW w:w="820" w:type="dxa"/>
            <w:vAlign w:val="bottom"/>
            <w:shd w:val="clear" w:color="auto" w:fill="B2EEDE"/>
          </w:tcPr>
          <w:p>
            <w:pPr>
              <w:jc w:val="right"/>
              <w:ind w:right="307"/>
              <w:spacing w:after="0"/>
              <w:rPr>
                <w:sz w:val="20"/>
                <w:szCs w:val="20"/>
                <w:color w:val="auto"/>
              </w:rPr>
            </w:pPr>
            <w:r>
              <w:rPr>
                <w:rFonts w:ascii="Arial" w:cs="Arial" w:eastAsia="Arial" w:hAnsi="Arial"/>
                <w:sz w:val="14"/>
                <w:szCs w:val="14"/>
                <w:b w:val="1"/>
                <w:bCs w:val="1"/>
                <w:color w:val="auto"/>
              </w:rPr>
              <w:t>STIP</w:t>
            </w:r>
          </w:p>
        </w:tc>
        <w:tc>
          <w:tcPr>
            <w:tcW w:w="0" w:type="dxa"/>
            <w:vAlign w:val="bottom"/>
          </w:tcPr>
          <w:p>
            <w:pPr>
              <w:spacing w:after="0"/>
              <w:rPr>
                <w:sz w:val="1"/>
                <w:szCs w:val="1"/>
                <w:color w:val="auto"/>
              </w:rPr>
            </w:pPr>
          </w:p>
        </w:tc>
      </w:tr>
      <w:tr>
        <w:trPr>
          <w:trHeight w:val="212"/>
        </w:trPr>
        <w:tc>
          <w:tcPr>
            <w:tcW w:w="2200" w:type="dxa"/>
            <w:vAlign w:val="bottom"/>
            <w:tcBorders>
              <w:bottom w:val="single" w:sz="8" w:color="auto"/>
            </w:tcBorders>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B2EEDE"/>
          </w:tcPr>
          <w:p>
            <w:pPr>
              <w:ind w:left="620"/>
              <w:spacing w:after="0"/>
              <w:rPr>
                <w:sz w:val="20"/>
                <w:szCs w:val="20"/>
                <w:color w:val="auto"/>
              </w:rPr>
            </w:pPr>
            <w:r>
              <w:rPr>
                <w:rFonts w:ascii="Arial" w:cs="Arial" w:eastAsia="Arial" w:hAnsi="Arial"/>
                <w:sz w:val="14"/>
                <w:szCs w:val="14"/>
                <w:b w:val="1"/>
                <w:bCs w:val="1"/>
                <w:color w:val="auto"/>
              </w:rPr>
              <w:t>​ ​</w:t>
            </w:r>
          </w:p>
        </w:tc>
        <w:tc>
          <w:tcPr>
            <w:tcW w:w="94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Opportunity</w:t>
            </w:r>
          </w:p>
        </w:tc>
        <w:tc>
          <w:tcPr>
            <w:tcW w:w="1260" w:type="dxa"/>
            <w:vAlign w:val="bottom"/>
            <w:tcBorders>
              <w:bottom w:val="single" w:sz="8" w:color="auto"/>
            </w:tcBorders>
            <w:shd w:val="clear" w:color="auto" w:fill="B2EEDE"/>
          </w:tcPr>
          <w:p>
            <w:pPr>
              <w:ind w:left="8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x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Multiplier</w:t>
            </w:r>
          </w:p>
        </w:tc>
        <w:tc>
          <w:tcPr>
            <w:tcW w:w="660" w:type="dxa"/>
            <w:vAlign w:val="bottom"/>
            <w:tcBorders>
              <w:bottom w:val="single" w:sz="8" w:color="auto"/>
            </w:tcBorders>
            <w:shd w:val="clear" w:color="auto" w:fill="B2EEDE"/>
          </w:tcPr>
          <w:p>
            <w:pPr>
              <w:ind w:left="40"/>
              <w:spacing w:after="0" w:line="212" w:lineRule="exact"/>
              <w:rPr>
                <w:sz w:val="20"/>
                <w:szCs w:val="20"/>
                <w:color w:val="auto"/>
              </w:rPr>
            </w:pPr>
            <w:r>
              <w:rPr>
                <w:rFonts w:ascii="Arial" w:cs="Arial" w:eastAsia="Arial" w:hAnsi="Arial"/>
                <w:sz w:val="13"/>
                <w:szCs w:val="13"/>
                <w:b w:val="1"/>
                <w:bCs w:val="1"/>
                <w:color w:val="auto"/>
              </w:rPr>
              <w:t xml:space="preserve">​ ​ </w:t>
            </w:r>
            <w:r>
              <w:rPr>
                <w:rFonts w:ascii="Arial" w:cs="Arial" w:eastAsia="Arial" w:hAnsi="Arial"/>
                <w:sz w:val="24"/>
                <w:szCs w:val="24"/>
                <w:b w:val="1"/>
                <w:bCs w:val="1"/>
                <w:color w:val="auto"/>
                <w:vertAlign w:val="superscript"/>
              </w:rPr>
              <w:t>=</w:t>
            </w:r>
            <w:r>
              <w:rPr>
                <w:rFonts w:ascii="Arial" w:cs="Arial" w:eastAsia="Arial" w:hAnsi="Arial"/>
                <w:sz w:val="13"/>
                <w:szCs w:val="13"/>
                <w:b w:val="1"/>
                <w:bCs w:val="1"/>
                <w:color w:val="auto"/>
              </w:rPr>
              <w:t xml:space="preserve"> ​ ​</w:t>
            </w:r>
          </w:p>
        </w:tc>
        <w:tc>
          <w:tcPr>
            <w:tcW w:w="1200" w:type="dxa"/>
            <w:vAlign w:val="bottom"/>
            <w:tcBorders>
              <w:bottom w:val="single" w:sz="8" w:color="auto"/>
            </w:tcBorders>
            <w:shd w:val="clear" w:color="auto" w:fill="B2EEDE"/>
          </w:tcPr>
          <w:p>
            <w:pPr>
              <w:jc w:val="right"/>
              <w:spacing w:after="0" w:line="212" w:lineRule="exact"/>
              <w:rPr>
                <w:sz w:val="20"/>
                <w:szCs w:val="20"/>
                <w:color w:val="auto"/>
              </w:rPr>
            </w:pPr>
            <w:r>
              <w:rPr>
                <w:rFonts w:ascii="Arial" w:cs="Arial" w:eastAsia="Arial" w:hAnsi="Arial"/>
                <w:sz w:val="13"/>
                <w:szCs w:val="13"/>
                <w:b w:val="1"/>
                <w:bCs w:val="1"/>
                <w:color w:val="auto"/>
              </w:rPr>
              <w:t xml:space="preserve">Payout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x </w:t>
            </w:r>
            <w:r>
              <w:rPr>
                <w:rFonts w:ascii="Arial" w:cs="Arial" w:eastAsia="Arial" w:hAnsi="Arial"/>
                <w:sz w:val="24"/>
                <w:szCs w:val="24"/>
                <w:b w:val="1"/>
                <w:bCs w:val="1"/>
                <w:color w:val="auto"/>
                <w:vertAlign w:val="subscript"/>
              </w:rPr>
              <w:t>​ ​</w:t>
            </w:r>
          </w:p>
        </w:tc>
        <w:tc>
          <w:tcPr>
            <w:tcW w:w="900" w:type="dxa"/>
            <w:vAlign w:val="bottom"/>
            <w:tcBorders>
              <w:bottom w:val="single" w:sz="8" w:color="auto"/>
            </w:tcBorders>
            <w:shd w:val="clear" w:color="auto" w:fill="B2EEDE"/>
          </w:tcPr>
          <w:p>
            <w:pPr>
              <w:jc w:val="right"/>
              <w:ind w:right="86"/>
              <w:spacing w:after="0"/>
              <w:rPr>
                <w:sz w:val="20"/>
                <w:szCs w:val="20"/>
                <w:color w:val="auto"/>
              </w:rPr>
            </w:pPr>
            <w:r>
              <w:rPr>
                <w:rFonts w:ascii="Arial" w:cs="Arial" w:eastAsia="Arial" w:hAnsi="Arial"/>
                <w:sz w:val="14"/>
                <w:szCs w:val="14"/>
                <w:b w:val="1"/>
                <w:bCs w:val="1"/>
                <w:color w:val="auto"/>
              </w:rPr>
              <w:t>Modifier</w:t>
            </w:r>
          </w:p>
        </w:tc>
        <w:tc>
          <w:tcPr>
            <w:tcW w:w="660" w:type="dxa"/>
            <w:vAlign w:val="bottom"/>
            <w:tcBorders>
              <w:bottom w:val="single" w:sz="8" w:color="auto"/>
            </w:tcBorders>
            <w:shd w:val="clear" w:color="auto" w:fill="B2EEDE"/>
          </w:tcPr>
          <w:p>
            <w:pPr>
              <w:ind w:left="80"/>
              <w:spacing w:after="0" w:line="212" w:lineRule="exact"/>
              <w:rPr>
                <w:sz w:val="20"/>
                <w:szCs w:val="20"/>
                <w:color w:val="auto"/>
              </w:rPr>
            </w:pPr>
            <w:r>
              <w:rPr>
                <w:rFonts w:ascii="Arial" w:cs="Arial" w:eastAsia="Arial" w:hAnsi="Arial"/>
                <w:sz w:val="13"/>
                <w:szCs w:val="13"/>
                <w:b w:val="1"/>
                <w:bCs w:val="1"/>
                <w:color w:val="auto"/>
              </w:rPr>
              <w:t xml:space="preserve">​ ​ </w:t>
            </w:r>
            <w:r>
              <w:rPr>
                <w:rFonts w:ascii="Arial" w:cs="Arial" w:eastAsia="Arial" w:hAnsi="Arial"/>
                <w:sz w:val="24"/>
                <w:szCs w:val="24"/>
                <w:b w:val="1"/>
                <w:bCs w:val="1"/>
                <w:color w:val="auto"/>
                <w:vertAlign w:val="superscript"/>
              </w:rPr>
              <w:t>=</w:t>
            </w:r>
            <w:r>
              <w:rPr>
                <w:rFonts w:ascii="Arial" w:cs="Arial" w:eastAsia="Arial" w:hAnsi="Arial"/>
                <w:sz w:val="13"/>
                <w:szCs w:val="13"/>
                <w:b w:val="1"/>
                <w:bCs w:val="1"/>
                <w:color w:val="auto"/>
              </w:rPr>
              <w:t xml:space="preserve"> ​ ​</w:t>
            </w:r>
          </w:p>
        </w:tc>
        <w:tc>
          <w:tcPr>
            <w:tcW w:w="820" w:type="dxa"/>
            <w:vAlign w:val="bottom"/>
            <w:tcBorders>
              <w:bottom w:val="single" w:sz="8" w:color="auto"/>
            </w:tcBorders>
            <w:shd w:val="clear" w:color="auto" w:fill="B2EEDE"/>
          </w:tcPr>
          <w:p>
            <w:pPr>
              <w:jc w:val="right"/>
              <w:spacing w:after="0" w:line="212" w:lineRule="exact"/>
              <w:rPr>
                <w:sz w:val="20"/>
                <w:szCs w:val="20"/>
                <w:color w:val="auto"/>
              </w:rPr>
            </w:pPr>
            <w:r>
              <w:rPr>
                <w:rFonts w:ascii="Arial" w:cs="Arial" w:eastAsia="Arial" w:hAnsi="Arial"/>
                <w:sz w:val="13"/>
                <w:szCs w:val="13"/>
                <w:b w:val="1"/>
                <w:bCs w:val="1"/>
                <w:color w:val="auto"/>
              </w:rPr>
              <w:t>Payout</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Christiana Stamoulis</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$ 700,000</w:t>
            </w:r>
          </w:p>
        </w:tc>
        <w:tc>
          <w:tcPr>
            <w:tcW w:w="31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 ​ ​ ​ ​  ​</w:t>
            </w:r>
            <w:r>
              <w:rPr>
                <w:rFonts w:ascii="Arial" w:cs="Arial" w:eastAsia="Arial" w:hAnsi="Arial"/>
                <w:sz w:val="28"/>
                <w:szCs w:val="28"/>
                <w:color w:val="auto"/>
                <w:vertAlign w:val="superscript"/>
              </w:rPr>
              <w:t>​178.1%</w:t>
            </w:r>
            <w:r>
              <w:rPr>
                <w:rFonts w:ascii="Arial" w:cs="Arial" w:eastAsia="Arial" w:hAnsi="Arial"/>
                <w:sz w:val="15"/>
                <w:szCs w:val="15"/>
                <w:color w:val="auto"/>
              </w:rPr>
              <w:t>​​ ​ ​ ​ ​​</w:t>
            </w:r>
            <w:r>
              <w:rPr>
                <w:rFonts w:ascii="Arial" w:cs="Arial" w:eastAsia="Arial" w:hAnsi="Arial"/>
                <w:sz w:val="28"/>
                <w:szCs w:val="28"/>
                <w:color w:val="auto"/>
                <w:vertAlign w:val="superscript"/>
              </w:rPr>
              <w:t>$1,246,700</w:t>
            </w:r>
            <w:r>
              <w:rPr>
                <w:rFonts w:ascii="Arial" w:cs="Arial" w:eastAsia="Arial" w:hAnsi="Arial"/>
                <w:sz w:val="15"/>
                <w:szCs w:val="15"/>
                <w:color w:val="auto"/>
              </w:rPr>
              <w:t>​​ ​ ​ ​ ​</w:t>
            </w:r>
          </w:p>
        </w:tc>
        <w:tc>
          <w:tcPr>
            <w:tcW w:w="900" w:type="dxa"/>
            <w:vAlign w:val="bottom"/>
            <w:tcBorders>
              <w:bottom w:val="single" w:sz="8" w:color="auto"/>
            </w:tcBorders>
          </w:tcPr>
          <w:p>
            <w:pPr>
              <w:jc w:val="right"/>
              <w:ind w:right="86"/>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100%</w:t>
            </w:r>
          </w:p>
        </w:tc>
        <w:tc>
          <w:tcPr>
            <w:tcW w:w="148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 ​ ​ ​​</w:t>
            </w:r>
            <w:r>
              <w:rPr>
                <w:rFonts w:ascii="Arial" w:cs="Arial" w:eastAsia="Arial" w:hAnsi="Arial"/>
                <w:sz w:val="15"/>
                <w:szCs w:val="15"/>
                <w:color w:val="auto"/>
              </w:rPr>
              <w:t>$1,246,700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Henriette Nielsen</w:t>
            </w:r>
          </w:p>
        </w:tc>
        <w:tc>
          <w:tcPr>
            <w:tcW w:w="76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$ 498,120</w:t>
            </w:r>
          </w:p>
        </w:tc>
        <w:tc>
          <w:tcPr>
            <w:tcW w:w="1920" w:type="dxa"/>
            <w:vAlign w:val="bottom"/>
            <w:tcBorders>
              <w:bottom w:val="single" w:sz="8" w:color="auto"/>
            </w:tcBorders>
            <w:gridSpan w:val="2"/>
            <w:shd w:val="clear" w:color="auto" w:fill="E5E5E5"/>
          </w:tcPr>
          <w:p>
            <w:pPr>
              <w:ind w:left="20"/>
              <w:spacing w:after="0" w:line="250" w:lineRule="exact"/>
              <w:rPr>
                <w:sz w:val="20"/>
                <w:szCs w:val="20"/>
                <w:color w:val="auto"/>
              </w:rPr>
            </w:pPr>
            <w:r>
              <w:rPr>
                <w:rFonts w:ascii="Arial" w:cs="Arial" w:eastAsia="Arial" w:hAnsi="Arial"/>
                <w:sz w:val="15"/>
                <w:szCs w:val="15"/>
                <w:color w:val="auto"/>
              </w:rPr>
              <w:t>​​ ​ ​ ​ ​  ​</w:t>
            </w:r>
            <w:r>
              <w:rPr>
                <w:rFonts w:ascii="Arial" w:cs="Arial" w:eastAsia="Arial" w:hAnsi="Arial"/>
                <w:sz w:val="28"/>
                <w:szCs w:val="28"/>
                <w:color w:val="auto"/>
                <w:vertAlign w:val="superscript"/>
              </w:rPr>
              <w:t>​178.1%</w:t>
            </w:r>
            <w:r>
              <w:rPr>
                <w:rFonts w:ascii="Arial" w:cs="Arial" w:eastAsia="Arial" w:hAnsi="Arial"/>
                <w:sz w:val="15"/>
                <w:szCs w:val="15"/>
                <w:color w:val="auto"/>
              </w:rPr>
              <w:t>​​ ​ ​ ​ ​​</w:t>
            </w:r>
            <w:r>
              <w:rPr>
                <w:rFonts w:ascii="Arial" w:cs="Arial" w:eastAsia="Arial" w:hAnsi="Arial"/>
                <w:sz w:val="28"/>
                <w:szCs w:val="28"/>
                <w:color w:val="auto"/>
                <w:vertAlign w:val="superscript"/>
              </w:rPr>
              <w:t>$</w:t>
            </w:r>
          </w:p>
        </w:tc>
        <w:tc>
          <w:tcPr>
            <w:tcW w:w="120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15"/>
                <w:szCs w:val="15"/>
                <w:color w:val="auto"/>
              </w:rPr>
              <w:t>887,152</w:t>
            </w:r>
            <w:r>
              <w:rPr>
                <w:rFonts w:ascii="Arial" w:cs="Arial" w:eastAsia="Arial" w:hAnsi="Arial"/>
                <w:sz w:val="28"/>
                <w:szCs w:val="28"/>
                <w:color w:val="auto"/>
                <w:vertAlign w:val="subscript"/>
              </w:rPr>
              <w:t>​​ ​ ​ ​ ​</w:t>
            </w:r>
          </w:p>
        </w:tc>
        <w:tc>
          <w:tcPr>
            <w:tcW w:w="900" w:type="dxa"/>
            <w:vAlign w:val="bottom"/>
            <w:tcBorders>
              <w:bottom w:val="single" w:sz="8" w:color="auto"/>
            </w:tcBorders>
            <w:shd w:val="clear" w:color="auto" w:fill="E5E5E5"/>
          </w:tcPr>
          <w:p>
            <w:pPr>
              <w:jc w:val="right"/>
              <w:ind w:right="86"/>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100%</w:t>
            </w:r>
          </w:p>
        </w:tc>
        <w:tc>
          <w:tcPr>
            <w:tcW w:w="660" w:type="dxa"/>
            <w:vAlign w:val="bottom"/>
            <w:tcBorders>
              <w:bottom w:val="single" w:sz="8" w:color="auto"/>
            </w:tcBorders>
            <w:shd w:val="clear" w:color="auto" w:fill="E5E5E5"/>
          </w:tcPr>
          <w:p>
            <w:pPr>
              <w:spacing w:after="0" w:line="250" w:lineRule="exact"/>
              <w:rPr>
                <w:sz w:val="20"/>
                <w:szCs w:val="20"/>
                <w:color w:val="auto"/>
              </w:rPr>
            </w:pPr>
            <w:r>
              <w:rPr>
                <w:rFonts w:ascii="Arial" w:cs="Arial" w:eastAsia="Arial" w:hAnsi="Arial"/>
                <w:sz w:val="15"/>
                <w:szCs w:val="15"/>
                <w:color w:val="auto"/>
              </w:rPr>
              <w:t>​​ ​ ​ ​ ​​</w:t>
            </w:r>
            <w:r>
              <w:rPr>
                <w:rFonts w:ascii="Arial" w:cs="Arial" w:eastAsia="Arial" w:hAnsi="Arial"/>
                <w:sz w:val="28"/>
                <w:szCs w:val="28"/>
                <w:color w:val="auto"/>
                <w:vertAlign w:val="superscript"/>
              </w:rPr>
              <w:t>$</w:t>
            </w:r>
          </w:p>
        </w:tc>
        <w:tc>
          <w:tcPr>
            <w:tcW w:w="82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15"/>
                <w:szCs w:val="15"/>
                <w:color w:val="auto"/>
              </w:rPr>
              <w:t>887,152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Lisa French</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$ 477,394</w:t>
            </w:r>
          </w:p>
        </w:tc>
        <w:tc>
          <w:tcPr>
            <w:tcW w:w="1920" w:type="dxa"/>
            <w:vAlign w:val="bottom"/>
            <w:tcBorders>
              <w:bottom w:val="single" w:sz="8" w:color="auto"/>
            </w:tcBorders>
            <w:gridSpan w:val="2"/>
          </w:tcPr>
          <w:p>
            <w:pPr>
              <w:ind w:left="20"/>
              <w:spacing w:after="0" w:line="250" w:lineRule="exact"/>
              <w:rPr>
                <w:sz w:val="20"/>
                <w:szCs w:val="20"/>
                <w:color w:val="auto"/>
              </w:rPr>
            </w:pPr>
            <w:r>
              <w:rPr>
                <w:rFonts w:ascii="Arial" w:cs="Arial" w:eastAsia="Arial" w:hAnsi="Arial"/>
                <w:sz w:val="15"/>
                <w:szCs w:val="15"/>
                <w:color w:val="auto"/>
              </w:rPr>
              <w:t>​​ ​ ​ ​ ​  ​</w:t>
            </w:r>
            <w:r>
              <w:rPr>
                <w:rFonts w:ascii="Arial" w:cs="Arial" w:eastAsia="Arial" w:hAnsi="Arial"/>
                <w:sz w:val="28"/>
                <w:szCs w:val="28"/>
                <w:color w:val="auto"/>
                <w:vertAlign w:val="superscript"/>
              </w:rPr>
              <w:t>​178.1%</w:t>
            </w:r>
            <w:r>
              <w:rPr>
                <w:rFonts w:ascii="Arial" w:cs="Arial" w:eastAsia="Arial" w:hAnsi="Arial"/>
                <w:sz w:val="15"/>
                <w:szCs w:val="15"/>
                <w:color w:val="auto"/>
              </w:rPr>
              <w:t>​​ ​ ​ ​ ​​</w:t>
            </w:r>
            <w:r>
              <w:rPr>
                <w:rFonts w:ascii="Arial" w:cs="Arial" w:eastAsia="Arial" w:hAnsi="Arial"/>
                <w:sz w:val="28"/>
                <w:szCs w:val="28"/>
                <w:color w:val="auto"/>
                <w:vertAlign w:val="superscript"/>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850,239</w:t>
            </w:r>
            <w:r>
              <w:rPr>
                <w:rFonts w:ascii="Arial" w:cs="Arial" w:eastAsia="Arial" w:hAnsi="Arial"/>
                <w:sz w:val="28"/>
                <w:szCs w:val="28"/>
                <w:color w:val="auto"/>
                <w:vertAlign w:val="subscript"/>
              </w:rPr>
              <w:t>​​ ​ ​ ​ ​</w:t>
            </w:r>
          </w:p>
        </w:tc>
        <w:tc>
          <w:tcPr>
            <w:tcW w:w="900" w:type="dxa"/>
            <w:vAlign w:val="bottom"/>
            <w:tcBorders>
              <w:bottom w:val="single" w:sz="8" w:color="auto"/>
            </w:tcBorders>
          </w:tcPr>
          <w:p>
            <w:pPr>
              <w:jc w:val="right"/>
              <w:ind w:right="86"/>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100%</w:t>
            </w:r>
          </w:p>
        </w:tc>
        <w:tc>
          <w:tcPr>
            <w:tcW w:w="660" w:type="dxa"/>
            <w:vAlign w:val="bottom"/>
            <w:tcBorders>
              <w:bottom w:val="single" w:sz="8" w:color="auto"/>
            </w:tcBorders>
          </w:tcPr>
          <w:p>
            <w:pPr>
              <w:spacing w:after="0" w:line="250" w:lineRule="exact"/>
              <w:rPr>
                <w:sz w:val="20"/>
                <w:szCs w:val="20"/>
                <w:color w:val="auto"/>
              </w:rPr>
            </w:pPr>
            <w:r>
              <w:rPr>
                <w:rFonts w:ascii="Arial" w:cs="Arial" w:eastAsia="Arial" w:hAnsi="Arial"/>
                <w:sz w:val="15"/>
                <w:szCs w:val="15"/>
                <w:color w:val="auto"/>
              </w:rPr>
              <w:t>​​ ​ ​ ​ ​​</w:t>
            </w:r>
            <w:r>
              <w:rPr>
                <w:rFonts w:ascii="Arial" w:cs="Arial" w:eastAsia="Arial" w:hAnsi="Arial"/>
                <w:sz w:val="28"/>
                <w:szCs w:val="28"/>
                <w:color w:val="auto"/>
                <w:vertAlign w:val="superscript"/>
              </w:rPr>
              <w:t>$</w:t>
            </w:r>
          </w:p>
        </w:tc>
        <w:tc>
          <w:tcPr>
            <w:tcW w:w="8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850,239</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​Mark A. Tyndall</w:t>
            </w:r>
          </w:p>
        </w:tc>
        <w:tc>
          <w:tcPr>
            <w:tcW w:w="76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rPr>
              <w:t>​$ 473,513</w:t>
            </w:r>
          </w:p>
        </w:tc>
        <w:tc>
          <w:tcPr>
            <w:tcW w:w="1920" w:type="dxa"/>
            <w:vAlign w:val="bottom"/>
            <w:tcBorders>
              <w:bottom w:val="single" w:sz="8" w:color="auto"/>
            </w:tcBorders>
            <w:gridSpan w:val="2"/>
            <w:shd w:val="clear" w:color="auto" w:fill="E5E5E5"/>
          </w:tcPr>
          <w:p>
            <w:pPr>
              <w:ind w:left="20"/>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r>
              <w:rPr>
                <w:rFonts w:ascii="Arial" w:cs="Arial" w:eastAsia="Arial" w:hAnsi="Arial"/>
                <w:sz w:val="14"/>
                <w:szCs w:val="14"/>
                <w:color w:val="auto"/>
              </w:rPr>
              <w:t xml:space="preserve"> ​ ​  ​178.1%​​ ​ </w:t>
            </w: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1200" w:type="dxa"/>
            <w:vAlign w:val="bottom"/>
            <w:tcBorders>
              <w:bottom w:val="single" w:sz="8" w:color="auto"/>
            </w:tcBorders>
            <w:shd w:val="clear" w:color="auto" w:fill="E5E5E5"/>
          </w:tcPr>
          <w:p>
            <w:pPr>
              <w:jc w:val="right"/>
              <w:spacing w:after="0" w:line="236" w:lineRule="exact"/>
              <w:rPr>
                <w:sz w:val="20"/>
                <w:szCs w:val="20"/>
                <w:color w:val="auto"/>
              </w:rPr>
            </w:pPr>
            <w:r>
              <w:rPr>
                <w:rFonts w:ascii="Arial" w:cs="Arial" w:eastAsia="Arial" w:hAnsi="Arial"/>
                <w:sz w:val="14"/>
                <w:szCs w:val="14"/>
                <w:color w:val="auto"/>
              </w:rPr>
              <w:t xml:space="preserve">843,327​​ ​ </w:t>
            </w: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900" w:type="dxa"/>
            <w:vAlign w:val="bottom"/>
            <w:tcBorders>
              <w:bottom w:val="single" w:sz="8" w:color="auto"/>
            </w:tcBorders>
            <w:shd w:val="clear" w:color="auto" w:fill="E5E5E5"/>
          </w:tcPr>
          <w:p>
            <w:pPr>
              <w:jc w:val="right"/>
              <w:ind w:right="86"/>
              <w:spacing w:after="0"/>
              <w:rPr>
                <w:sz w:val="20"/>
                <w:szCs w:val="20"/>
                <w:color w:val="auto"/>
              </w:rPr>
            </w:pPr>
            <w:r>
              <w:rPr>
                <w:rFonts w:ascii="Arial" w:cs="Arial" w:eastAsia="Arial" w:hAnsi="Arial"/>
                <w:sz w:val="16"/>
                <w:szCs w:val="16"/>
                <w:b w:val="1"/>
                <w:bCs w:val="1"/>
                <w:color w:val="auto"/>
              </w:rPr>
              <w:t>​100%</w:t>
            </w:r>
          </w:p>
        </w:tc>
        <w:tc>
          <w:tcPr>
            <w:tcW w:w="660" w:type="dxa"/>
            <w:vAlign w:val="bottom"/>
            <w:tcBorders>
              <w:bottom w:val="single" w:sz="8" w:color="auto"/>
            </w:tcBorders>
            <w:shd w:val="clear" w:color="auto" w:fill="E5E5E5"/>
          </w:tcPr>
          <w:p>
            <w:pPr>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843,327​​</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40" w:hanging="368"/>
        <w:spacing w:after="0"/>
        <w:tabs>
          <w:tab w:leader="none" w:pos="10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HRCC concluded that 2025 STIP payouts to the NEOs in the table above were not reduced by the maximums in effect for fiscal 2025.</w:t>
      </w:r>
    </w:p>
    <w:p>
      <w:pPr>
        <w:spacing w:after="0" w:line="187" w:lineRule="exact"/>
        <w:rPr>
          <w:sz w:val="20"/>
          <w:szCs w:val="20"/>
          <w:color w:val="auto"/>
        </w:rPr>
      </w:pPr>
    </w:p>
    <w:p>
      <w:pPr>
        <w:ind w:left="680" w:right="200"/>
        <w:spacing w:after="0" w:line="271" w:lineRule="auto"/>
        <w:rPr>
          <w:sz w:val="20"/>
          <w:szCs w:val="20"/>
          <w:color w:val="auto"/>
        </w:rPr>
      </w:pPr>
      <w:r>
        <w:rPr>
          <w:rFonts w:ascii="Arial" w:cs="Arial" w:eastAsia="Arial" w:hAnsi="Arial"/>
          <w:sz w:val="16"/>
          <w:szCs w:val="16"/>
          <w:color w:val="auto"/>
        </w:rPr>
        <w:t>Per the terms of the 2025 CEO Agreement, which changed the target and maximum amounts of Mr. Olafsson’s STIP as further described above, Mr. Olafsson’s 2025 STIP payout was determined separately on a prorated basis for the pre- and post-merger portions of fiscal 2025 using the targets, performance and maximums in respect of each period on a prorated basis. The calculation of his 2025 STIP is illustrated in the table below.</w:t>
      </w:r>
    </w:p>
    <w:p>
      <w:pPr>
        <w:spacing w:after="0" w:line="304" w:lineRule="exact"/>
        <w:rPr>
          <w:sz w:val="20"/>
          <w:szCs w:val="20"/>
          <w:color w:val="auto"/>
        </w:rPr>
      </w:pPr>
    </w:p>
    <w:p>
      <w:pPr>
        <w:ind w:left="680"/>
        <w:spacing w:after="0"/>
        <w:tabs>
          <w:tab w:leader="none" w:pos="5260" w:val="left"/>
          <w:tab w:leader="none" w:pos="10040" w:val="left"/>
        </w:tabs>
        <w:rPr>
          <w:sz w:val="20"/>
          <w:szCs w:val="20"/>
          <w:color w:val="auto"/>
        </w:rPr>
      </w:pPr>
      <w:r>
        <w:rPr>
          <w:rFonts w:ascii="Arial" w:cs="Arial" w:eastAsia="Arial" w:hAnsi="Arial"/>
          <w:sz w:val="13"/>
          <w:szCs w:val="13"/>
          <w:color w:val="323232"/>
        </w:rPr>
        <w:t>​26 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-43180</wp:posOffset>
            </wp:positionV>
            <wp:extent cx="44577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770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00514B"/>
        </w:rPr>
        <w:t>Fiscal 2025 STIP Payout (CEO)</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720" w:type="dxa"/>
            <w:vAlign w:val="bottom"/>
            <w:shd w:val="clear" w:color="auto" w:fill="B2EEDE"/>
          </w:tcPr>
          <w:p>
            <w:pPr>
              <w:spacing w:after="0"/>
              <w:rPr>
                <w:sz w:val="17"/>
                <w:szCs w:val="17"/>
                <w:color w:val="auto"/>
              </w:rPr>
            </w:pPr>
          </w:p>
        </w:tc>
        <w:tc>
          <w:tcPr>
            <w:tcW w:w="1240" w:type="dxa"/>
            <w:vAlign w:val="bottom"/>
            <w:shd w:val="clear" w:color="auto" w:fill="B2EEDE"/>
          </w:tcPr>
          <w:p>
            <w:pPr>
              <w:jc w:val="center"/>
              <w:ind w:left="327"/>
              <w:spacing w:after="0"/>
              <w:rPr>
                <w:sz w:val="20"/>
                <w:szCs w:val="20"/>
                <w:color w:val="auto"/>
              </w:rPr>
            </w:pPr>
            <w:r>
              <w:rPr>
                <w:rFonts w:ascii="Arial" w:cs="Arial" w:eastAsia="Arial" w:hAnsi="Arial"/>
                <w:sz w:val="14"/>
                <w:szCs w:val="14"/>
                <w:b w:val="1"/>
                <w:bCs w:val="1"/>
                <w:color w:val="auto"/>
              </w:rPr>
              <w:t>Prorated</w:t>
            </w:r>
          </w:p>
        </w:tc>
        <w:tc>
          <w:tcPr>
            <w:tcW w:w="60" w:type="dxa"/>
            <w:vAlign w:val="bottom"/>
            <w:shd w:val="clear" w:color="auto" w:fill="B2EEDE"/>
          </w:tcPr>
          <w:p>
            <w:pPr>
              <w:spacing w:after="0"/>
              <w:rPr>
                <w:sz w:val="17"/>
                <w:szCs w:val="17"/>
                <w:color w:val="auto"/>
              </w:rPr>
            </w:pPr>
          </w:p>
        </w:tc>
        <w:tc>
          <w:tcPr>
            <w:tcW w:w="480" w:type="dxa"/>
            <w:vAlign w:val="bottom"/>
            <w:shd w:val="clear" w:color="auto" w:fill="B2EEDE"/>
          </w:tcPr>
          <w:p>
            <w:pPr>
              <w:spacing w:after="0"/>
              <w:rPr>
                <w:sz w:val="17"/>
                <w:szCs w:val="17"/>
                <w:color w:val="auto"/>
              </w:rPr>
            </w:pPr>
          </w:p>
        </w:tc>
        <w:tc>
          <w:tcPr>
            <w:tcW w:w="680" w:type="dxa"/>
            <w:vAlign w:val="bottom"/>
            <w:gridSpan w:val="2"/>
            <w:vMerge w:val="restart"/>
            <w:shd w:val="clear" w:color="auto" w:fill="B2EEDE"/>
          </w:tcPr>
          <w:p>
            <w:pPr>
              <w:spacing w:after="0"/>
              <w:rPr>
                <w:sz w:val="20"/>
                <w:szCs w:val="20"/>
                <w:color w:val="auto"/>
              </w:rPr>
            </w:pPr>
            <w:r>
              <w:rPr>
                <w:rFonts w:ascii="Arial" w:cs="Arial" w:eastAsia="Arial" w:hAnsi="Arial"/>
                <w:sz w:val="14"/>
                <w:szCs w:val="14"/>
                <w:b w:val="1"/>
                <w:bCs w:val="1"/>
                <w:color w:val="auto"/>
              </w:rPr>
              <w:t>Company</w:t>
            </w:r>
          </w:p>
        </w:tc>
        <w:tc>
          <w:tcPr>
            <w:tcW w:w="1300" w:type="dxa"/>
            <w:vAlign w:val="bottom"/>
            <w:vMerge w:val="restart"/>
            <w:shd w:val="clear" w:color="auto" w:fill="B2EEDE"/>
          </w:tcPr>
          <w:p>
            <w:pPr>
              <w:ind w:left="500"/>
              <w:spacing w:after="0"/>
              <w:rPr>
                <w:sz w:val="20"/>
                <w:szCs w:val="20"/>
                <w:color w:val="auto"/>
              </w:rPr>
            </w:pPr>
            <w:r>
              <w:rPr>
                <w:rFonts w:ascii="Arial" w:cs="Arial" w:eastAsia="Arial" w:hAnsi="Arial"/>
                <w:sz w:val="14"/>
                <w:szCs w:val="14"/>
                <w:b w:val="1"/>
                <w:bCs w:val="1"/>
                <w:color w:val="auto"/>
              </w:rPr>
              <w:t>Preliminary</w:t>
            </w:r>
          </w:p>
        </w:tc>
        <w:tc>
          <w:tcPr>
            <w:tcW w:w="540" w:type="dxa"/>
            <w:vAlign w:val="bottom"/>
            <w:shd w:val="clear" w:color="auto" w:fill="B2EEDE"/>
          </w:tcPr>
          <w:p>
            <w:pPr>
              <w:spacing w:after="0"/>
              <w:rPr>
                <w:sz w:val="17"/>
                <w:szCs w:val="17"/>
                <w:color w:val="auto"/>
              </w:rPr>
            </w:pPr>
          </w:p>
        </w:tc>
        <w:tc>
          <w:tcPr>
            <w:tcW w:w="90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Individual</w:t>
            </w:r>
          </w:p>
        </w:tc>
        <w:tc>
          <w:tcPr>
            <w:tcW w:w="1480" w:type="dxa"/>
            <w:vAlign w:val="bottom"/>
            <w:shd w:val="clear" w:color="auto" w:fill="B2EEDE"/>
          </w:tcPr>
          <w:p>
            <w:pPr>
              <w:jc w:val="right"/>
              <w:ind w:right="128"/>
              <w:spacing w:after="0"/>
              <w:rPr>
                <w:sz w:val="20"/>
                <w:szCs w:val="20"/>
                <w:color w:val="auto"/>
              </w:rPr>
            </w:pPr>
            <w:r>
              <w:rPr>
                <w:rFonts w:ascii="Arial" w:cs="Arial" w:eastAsia="Arial" w:hAnsi="Arial"/>
                <w:sz w:val="14"/>
                <w:szCs w:val="14"/>
                <w:b w:val="1"/>
                <w:bCs w:val="1"/>
                <w:color w:val="auto"/>
              </w:rPr>
              <w:t>Final 2025</w:t>
            </w:r>
          </w:p>
        </w:tc>
        <w:tc>
          <w:tcPr>
            <w:tcW w:w="0" w:type="dxa"/>
            <w:vAlign w:val="bottom"/>
          </w:tcPr>
          <w:p>
            <w:pPr>
              <w:spacing w:after="0"/>
              <w:rPr>
                <w:sz w:val="1"/>
                <w:szCs w:val="1"/>
                <w:color w:val="auto"/>
              </w:rPr>
            </w:pPr>
          </w:p>
        </w:tc>
      </w:tr>
      <w:tr>
        <w:trPr>
          <w:trHeight w:val="175"/>
        </w:trPr>
        <w:tc>
          <w:tcPr>
            <w:tcW w:w="2720" w:type="dxa"/>
            <w:vAlign w:val="bottom"/>
            <w:shd w:val="clear" w:color="auto" w:fill="B2EEDE"/>
          </w:tcPr>
          <w:p>
            <w:pPr>
              <w:spacing w:after="0"/>
              <w:rPr>
                <w:sz w:val="15"/>
                <w:szCs w:val="15"/>
                <w:color w:val="auto"/>
              </w:rPr>
            </w:pPr>
          </w:p>
        </w:tc>
        <w:tc>
          <w:tcPr>
            <w:tcW w:w="1300" w:type="dxa"/>
            <w:vAlign w:val="bottom"/>
            <w:gridSpan w:val="2"/>
            <w:shd w:val="clear" w:color="auto" w:fill="B2EEDE"/>
          </w:tcPr>
          <w:p>
            <w:pPr>
              <w:jc w:val="center"/>
              <w:ind w:left="267"/>
              <w:spacing w:after="0"/>
              <w:rPr>
                <w:sz w:val="20"/>
                <w:szCs w:val="20"/>
                <w:color w:val="auto"/>
              </w:rPr>
            </w:pPr>
            <w:r>
              <w:rPr>
                <w:rFonts w:ascii="Arial" w:cs="Arial" w:eastAsia="Arial" w:hAnsi="Arial"/>
                <w:sz w:val="14"/>
                <w:szCs w:val="14"/>
                <w:b w:val="1"/>
                <w:bCs w:val="1"/>
                <w:color w:val="auto"/>
              </w:rPr>
              <w:t>Target Bonus</w:t>
            </w:r>
          </w:p>
        </w:tc>
        <w:tc>
          <w:tcPr>
            <w:tcW w:w="480" w:type="dxa"/>
            <w:vAlign w:val="bottom"/>
            <w:shd w:val="clear" w:color="auto" w:fill="B2EEDE"/>
          </w:tcPr>
          <w:p>
            <w:pPr>
              <w:spacing w:after="0"/>
              <w:rPr>
                <w:sz w:val="15"/>
                <w:szCs w:val="15"/>
                <w:color w:val="auto"/>
              </w:rPr>
            </w:pPr>
          </w:p>
        </w:tc>
        <w:tc>
          <w:tcPr>
            <w:tcW w:w="680" w:type="dxa"/>
            <w:vAlign w:val="bottom"/>
            <w:gridSpan w:val="2"/>
            <w:vMerge w:val="continue"/>
            <w:shd w:val="clear" w:color="auto" w:fill="B2EEDE"/>
          </w:tcPr>
          <w:p>
            <w:pPr>
              <w:spacing w:after="0"/>
              <w:rPr>
                <w:sz w:val="15"/>
                <w:szCs w:val="15"/>
                <w:color w:val="auto"/>
              </w:rPr>
            </w:pPr>
          </w:p>
        </w:tc>
        <w:tc>
          <w:tcPr>
            <w:tcW w:w="1300" w:type="dxa"/>
            <w:vAlign w:val="bottom"/>
            <w:vMerge w:val="continue"/>
            <w:shd w:val="clear" w:color="auto" w:fill="B2EEDE"/>
          </w:tcPr>
          <w:p>
            <w:pPr>
              <w:spacing w:after="0"/>
              <w:rPr>
                <w:sz w:val="15"/>
                <w:szCs w:val="15"/>
                <w:color w:val="auto"/>
              </w:rPr>
            </w:pPr>
          </w:p>
        </w:tc>
        <w:tc>
          <w:tcPr>
            <w:tcW w:w="540" w:type="dxa"/>
            <w:vAlign w:val="bottom"/>
            <w:shd w:val="clear" w:color="auto" w:fill="B2EEDE"/>
          </w:tcPr>
          <w:p>
            <w:pPr>
              <w:spacing w:after="0"/>
              <w:rPr>
                <w:sz w:val="15"/>
                <w:szCs w:val="15"/>
                <w:color w:val="auto"/>
              </w:rPr>
            </w:pPr>
          </w:p>
        </w:tc>
        <w:tc>
          <w:tcPr>
            <w:tcW w:w="90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B2EEDE"/>
          </w:tcPr>
          <w:p>
            <w:pPr>
              <w:jc w:val="right"/>
              <w:ind w:right="308"/>
              <w:spacing w:after="0"/>
              <w:rPr>
                <w:sz w:val="20"/>
                <w:szCs w:val="20"/>
                <w:color w:val="auto"/>
              </w:rPr>
            </w:pPr>
            <w:r>
              <w:rPr>
                <w:rFonts w:ascii="Arial" w:cs="Arial" w:eastAsia="Arial" w:hAnsi="Arial"/>
                <w:sz w:val="14"/>
                <w:szCs w:val="14"/>
                <w:b w:val="1"/>
                <w:bCs w:val="1"/>
                <w:color w:val="auto"/>
              </w:rPr>
              <w:t>STIP</w:t>
            </w:r>
          </w:p>
        </w:tc>
        <w:tc>
          <w:tcPr>
            <w:tcW w:w="0" w:type="dxa"/>
            <w:vAlign w:val="bottom"/>
          </w:tcPr>
          <w:p>
            <w:pPr>
              <w:spacing w:after="0"/>
              <w:rPr>
                <w:sz w:val="1"/>
                <w:szCs w:val="1"/>
                <w:color w:val="auto"/>
              </w:rPr>
            </w:pPr>
          </w:p>
        </w:tc>
      </w:tr>
      <w:tr>
        <w:trPr>
          <w:trHeight w:val="212"/>
        </w:trPr>
        <w:tc>
          <w:tcPr>
            <w:tcW w:w="2720" w:type="dxa"/>
            <w:vAlign w:val="bottom"/>
            <w:tcBorders>
              <w:bottom w:val="single" w:sz="8" w:color="auto"/>
            </w:tcBorders>
            <w:shd w:val="clear" w:color="auto" w:fill="B2EEDE"/>
          </w:tcPr>
          <w:p>
            <w:pPr>
              <w:ind w:left="60"/>
              <w:spacing w:after="0" w:line="21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4"/>
                <w:szCs w:val="24"/>
                <w:b w:val="1"/>
                <w:bCs w:val="1"/>
                <w:color w:val="auto"/>
                <w:vertAlign w:val="superscript"/>
              </w:rPr>
              <w:t>​</w:t>
            </w:r>
          </w:p>
        </w:tc>
        <w:tc>
          <w:tcPr>
            <w:tcW w:w="1240" w:type="dxa"/>
            <w:vAlign w:val="bottom"/>
            <w:tcBorders>
              <w:bottom w:val="single" w:sz="8" w:color="auto"/>
            </w:tcBorders>
            <w:shd w:val="clear" w:color="auto" w:fill="B2EEDE"/>
          </w:tcPr>
          <w:p>
            <w:pPr>
              <w:ind w:left="22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Opportunity</w:t>
            </w:r>
          </w:p>
        </w:tc>
        <w:tc>
          <w:tcPr>
            <w:tcW w:w="60" w:type="dxa"/>
            <w:vAlign w:val="bottom"/>
            <w:tcBorders>
              <w:bottom w:val="single" w:sz="8" w:color="auto"/>
            </w:tcBorders>
            <w:shd w:val="clear" w:color="auto" w:fill="B2EEDE"/>
          </w:tcPr>
          <w:p>
            <w:pPr>
              <w:spacing w:after="0"/>
              <w:rPr>
                <w:sz w:val="18"/>
                <w:szCs w:val="18"/>
                <w:color w:val="auto"/>
              </w:rPr>
            </w:pPr>
          </w:p>
        </w:tc>
        <w:tc>
          <w:tcPr>
            <w:tcW w:w="1160" w:type="dxa"/>
            <w:vAlign w:val="bottom"/>
            <w:tcBorders>
              <w:bottom w:val="single" w:sz="8" w:color="auto"/>
            </w:tcBorders>
            <w:gridSpan w:val="3"/>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x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Multiplier</w:t>
            </w:r>
          </w:p>
        </w:tc>
        <w:tc>
          <w:tcPr>
            <w:tcW w:w="1300" w:type="dxa"/>
            <w:vAlign w:val="bottom"/>
            <w:tcBorders>
              <w:bottom w:val="single" w:sz="8" w:color="auto"/>
            </w:tcBorders>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Payout</w:t>
            </w:r>
          </w:p>
        </w:tc>
        <w:tc>
          <w:tcPr>
            <w:tcW w:w="540" w:type="dxa"/>
            <w:vAlign w:val="bottom"/>
            <w:tcBorders>
              <w:bottom w:val="single" w:sz="8" w:color="auto"/>
            </w:tcBorders>
            <w:shd w:val="clear" w:color="auto" w:fill="B2EEDE"/>
          </w:tcPr>
          <w:p>
            <w:pPr>
              <w:jc w:val="right"/>
              <w:spacing w:after="0" w:line="212" w:lineRule="exact"/>
              <w:rPr>
                <w:sz w:val="20"/>
                <w:szCs w:val="20"/>
                <w:color w:val="auto"/>
              </w:rPr>
            </w:pPr>
            <w:r>
              <w:rPr>
                <w:rFonts w:ascii="Arial" w:cs="Arial" w:eastAsia="Arial" w:hAnsi="Arial"/>
                <w:sz w:val="13"/>
                <w:szCs w:val="13"/>
                <w:b w:val="1"/>
                <w:bCs w:val="1"/>
                <w:color w:val="auto"/>
              </w:rPr>
              <w:t>​ ​</w:t>
            </w:r>
            <w:r>
              <w:rPr>
                <w:rFonts w:ascii="Arial" w:cs="Arial" w:eastAsia="Arial" w:hAnsi="Arial"/>
                <w:sz w:val="24"/>
                <w:szCs w:val="24"/>
                <w:b w:val="1"/>
                <w:bCs w:val="1"/>
                <w:color w:val="auto"/>
                <w:vertAlign w:val="superscript"/>
              </w:rPr>
              <w:t>x</w:t>
            </w:r>
            <w:r>
              <w:rPr>
                <w:rFonts w:ascii="Arial" w:cs="Arial" w:eastAsia="Arial" w:hAnsi="Arial"/>
                <w:sz w:val="13"/>
                <w:szCs w:val="13"/>
                <w:b w:val="1"/>
                <w:bCs w:val="1"/>
                <w:color w:val="auto"/>
              </w:rPr>
              <w:t xml:space="preserve"> ​ ​</w:t>
            </w:r>
          </w:p>
        </w:tc>
        <w:tc>
          <w:tcPr>
            <w:tcW w:w="90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Modifier</w:t>
            </w:r>
          </w:p>
        </w:tc>
        <w:tc>
          <w:tcPr>
            <w:tcW w:w="1480" w:type="dxa"/>
            <w:vAlign w:val="bottom"/>
            <w:tcBorders>
              <w:bottom w:val="single" w:sz="8" w:color="auto"/>
            </w:tcBorders>
            <w:shd w:val="clear" w:color="auto" w:fill="B2EEDE"/>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Payout</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Pre-merger portion of fiscal 2025</w:t>
            </w:r>
          </w:p>
        </w:tc>
        <w:tc>
          <w:tcPr>
            <w:tcW w:w="1300" w:type="dxa"/>
            <w:vAlign w:val="bottom"/>
            <w:tcBorders>
              <w:bottom w:val="single" w:sz="8" w:color="auto"/>
            </w:tcBorders>
            <w:gridSpan w:val="2"/>
          </w:tcPr>
          <w:p>
            <w:pPr>
              <w:ind w:left="22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936,493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 ​ ​</w:t>
            </w:r>
          </w:p>
        </w:tc>
        <w:tc>
          <w:tcPr>
            <w:tcW w:w="2520" w:type="dxa"/>
            <w:vAlign w:val="bottom"/>
            <w:tcBorders>
              <w:bottom w:val="single" w:sz="8" w:color="auto"/>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​194.2%</w:t>
            </w:r>
            <w:r>
              <w:rPr>
                <w:rFonts w:ascii="Arial" w:cs="Arial" w:eastAsia="Arial" w:hAnsi="Arial"/>
                <w:sz w:val="28"/>
                <w:szCs w:val="28"/>
                <w:color w:val="auto"/>
                <w:vertAlign w:val="subscript"/>
              </w:rPr>
              <w:t>​​ ​ ​ ​ ​​</w:t>
            </w:r>
            <w:r>
              <w:rPr>
                <w:rFonts w:ascii="Arial" w:cs="Arial" w:eastAsia="Arial" w:hAnsi="Arial"/>
                <w:sz w:val="15"/>
                <w:szCs w:val="15"/>
                <w:color w:val="auto"/>
              </w:rPr>
              <w:t>$1,818,670</w:t>
            </w:r>
            <w:r>
              <w:rPr>
                <w:rFonts w:ascii="Arial" w:cs="Arial" w:eastAsia="Arial" w:hAnsi="Arial"/>
                <w:sz w:val="28"/>
                <w:szCs w:val="28"/>
                <w:color w:val="auto"/>
                <w:vertAlign w:val="subscript"/>
              </w:rPr>
              <w:t>​​ ​ ​ ​ ​</w:t>
            </w:r>
          </w:p>
        </w:tc>
        <w:tc>
          <w:tcPr>
            <w:tcW w:w="900" w:type="dxa"/>
            <w:vAlign w:val="bottom"/>
            <w:tcBorders>
              <w:bottom w:val="single" w:sz="8" w:color="auto"/>
            </w:tcBorders>
          </w:tcPr>
          <w:p>
            <w:pPr>
              <w:ind w:left="30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100%</w:t>
            </w:r>
          </w:p>
        </w:tc>
        <w:tc>
          <w:tcPr>
            <w:tcW w:w="14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bscript"/>
              </w:rPr>
              <w:t>​​ ​ ​ ​ ​​</w:t>
            </w:r>
            <w:r>
              <w:rPr>
                <w:rFonts w:ascii="Arial" w:cs="Arial" w:eastAsia="Arial" w:hAnsi="Arial"/>
                <w:sz w:val="15"/>
                <w:szCs w:val="15"/>
                <w:color w:val="auto"/>
              </w:rPr>
              <w:t>$1,818,670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Post-merger portion of fiscal 2025</w:t>
            </w:r>
          </w:p>
        </w:tc>
        <w:tc>
          <w:tcPr>
            <w:tcW w:w="1300" w:type="dxa"/>
            <w:vAlign w:val="bottom"/>
            <w:tcBorders>
              <w:bottom w:val="single" w:sz="8" w:color="auto"/>
            </w:tcBorders>
            <w:gridSpan w:val="2"/>
            <w:shd w:val="clear" w:color="auto" w:fill="E5E5E5"/>
          </w:tcPr>
          <w:p>
            <w:pPr>
              <w:ind w:left="22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$ 1,012,603</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 ​ ​</w:t>
            </w:r>
          </w:p>
        </w:tc>
        <w:tc>
          <w:tcPr>
            <w:tcW w:w="2520" w:type="dxa"/>
            <w:vAlign w:val="bottom"/>
            <w:tcBorders>
              <w:bottom w:val="single" w:sz="8" w:color="auto"/>
            </w:tcBorders>
            <w:gridSpan w:val="4"/>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​155.8%</w:t>
            </w:r>
            <w:r>
              <w:rPr>
                <w:rFonts w:ascii="Arial" w:cs="Arial" w:eastAsia="Arial" w:hAnsi="Arial"/>
                <w:sz w:val="28"/>
                <w:szCs w:val="28"/>
                <w:color w:val="auto"/>
                <w:vertAlign w:val="subscript"/>
              </w:rPr>
              <w:t>​​ ​ ​ ​ ​​</w:t>
            </w:r>
            <w:r>
              <w:rPr>
                <w:rFonts w:ascii="Arial" w:cs="Arial" w:eastAsia="Arial" w:hAnsi="Arial"/>
                <w:sz w:val="15"/>
                <w:szCs w:val="15"/>
                <w:color w:val="auto"/>
              </w:rPr>
              <w:t>$1,577,635</w:t>
            </w:r>
            <w:r>
              <w:rPr>
                <w:rFonts w:ascii="Arial" w:cs="Arial" w:eastAsia="Arial" w:hAnsi="Arial"/>
                <w:sz w:val="28"/>
                <w:szCs w:val="28"/>
                <w:color w:val="auto"/>
                <w:vertAlign w:val="subscript"/>
              </w:rPr>
              <w:t>​​ ​ ​ ​ ​</w:t>
            </w:r>
          </w:p>
        </w:tc>
        <w:tc>
          <w:tcPr>
            <w:tcW w:w="900" w:type="dxa"/>
            <w:vAlign w:val="bottom"/>
            <w:tcBorders>
              <w:bottom w:val="single" w:sz="8" w:color="auto"/>
            </w:tcBorders>
            <w:shd w:val="clear" w:color="auto" w:fill="E5E5E5"/>
          </w:tcPr>
          <w:p>
            <w:pPr>
              <w:ind w:left="30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100%</w:t>
            </w:r>
          </w:p>
        </w:tc>
        <w:tc>
          <w:tcPr>
            <w:tcW w:w="148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 ​ ​ ​​</w:t>
            </w:r>
            <w:r>
              <w:rPr>
                <w:rFonts w:ascii="Arial" w:cs="Arial" w:eastAsia="Arial" w:hAnsi="Arial"/>
                <w:sz w:val="15"/>
                <w:szCs w:val="15"/>
                <w:color w:val="auto"/>
              </w:rPr>
              <w:t>$1,577,635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​Combined</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 ​ ​ ​</w:t>
            </w:r>
          </w:p>
        </w:tc>
        <w:tc>
          <w:tcPr>
            <w:tcW w:w="540" w:type="dxa"/>
            <w:vAlign w:val="bottom"/>
            <w:tcBorders>
              <w:bottom w:val="single" w:sz="8" w:color="auto"/>
            </w:tcBorders>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 ​</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spacing w:after="0" w:line="236"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 ​​ ​</w:t>
            </w:r>
          </w:p>
        </w:tc>
        <w:tc>
          <w:tcPr>
            <w:tcW w:w="5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 ​</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w:t>
            </w:r>
          </w:p>
        </w:tc>
        <w:tc>
          <w:tcPr>
            <w:tcW w:w="148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 ​​$3,396,305​​</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40" w:right="220" w:hanging="368"/>
        <w:spacing w:after="0" w:line="259" w:lineRule="auto"/>
        <w:tabs>
          <w:tab w:leader="none" w:pos="10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Board concluded that Mr. Olafsson’s 2025 STIP payout was not reduced by the maximums in effect for the pre-merger or post-merger portions of fiscal 2025. In reaching this conclusion, the Board approved applying the post-merger maximum (400% of prorated base salary) to both the pre-merger and the post-merger periods.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Long-Term Incentive Compensation</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2025 Awards</w:t>
      </w:r>
    </w:p>
    <w:p>
      <w:pPr>
        <w:spacing w:after="0" w:line="120" w:lineRule="exact"/>
        <w:rPr>
          <w:sz w:val="20"/>
          <w:szCs w:val="20"/>
          <w:color w:val="auto"/>
        </w:rPr>
      </w:pPr>
    </w:p>
    <w:p>
      <w:pPr>
        <w:ind w:left="680" w:right="40"/>
        <w:spacing w:after="0" w:line="256" w:lineRule="auto"/>
        <w:rPr>
          <w:sz w:val="20"/>
          <w:szCs w:val="20"/>
          <w:color w:val="auto"/>
        </w:rPr>
      </w:pPr>
      <w:r>
        <w:rPr>
          <w:rFonts w:ascii="Arial" w:cs="Arial" w:eastAsia="Arial" w:hAnsi="Arial"/>
          <w:sz w:val="16"/>
          <w:szCs w:val="16"/>
          <w:color w:val="auto"/>
        </w:rPr>
        <w:t>No annual long-term incentive awards were granted as part of the executive compensation program for fiscal 2025 because the equity awards granted in February 2024 to the Company’s then-serving executive officers were intended to cover fiscal 2025. Refer to the discussion below for additional information on these 2024 awards. However, as further described below, special 2025 long-term incentive awards, including equity- and cash-based awards, were granted to Mr. Olafsson in connection with effectiveness of the 2025 CEO Agreement and to Ms. Stamoulis in connection with her appointment as President and Chief Financial Officer.</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2024 Awards</w:t>
      </w:r>
    </w:p>
    <w:p>
      <w:pPr>
        <w:spacing w:after="0" w:line="120" w:lineRule="exact"/>
        <w:rPr>
          <w:sz w:val="20"/>
          <w:szCs w:val="20"/>
          <w:color w:val="auto"/>
        </w:rPr>
      </w:pPr>
    </w:p>
    <w:p>
      <w:pPr>
        <w:ind w:left="680" w:right="40"/>
        <w:spacing w:after="0" w:line="256" w:lineRule="auto"/>
        <w:rPr>
          <w:sz w:val="20"/>
          <w:szCs w:val="20"/>
          <w:color w:val="auto"/>
        </w:rPr>
      </w:pPr>
      <w:r>
        <w:rPr>
          <w:rFonts w:ascii="Arial" w:cs="Arial" w:eastAsia="Arial" w:hAnsi="Arial"/>
          <w:sz w:val="16"/>
          <w:szCs w:val="16"/>
          <w:color w:val="auto"/>
        </w:rPr>
        <w:t>In February 2024, the Company granted to its then-serving executive officers three-year equity awards comprised of two-thirds PSUs (the “2024 PSUs”) and one-third RSUs (the “2024 RSUs”). At grant, these equity awards represented restricted units that would result in the issuance of ordinary shares only after (and in the case of PSUs, only to the extent that) the vesting and/or other requirements set forth in the applicable award agreement were satisfied, and only to the extent vesting was not affected by our executive compensation recoupment (clawback) policy.</w:t>
      </w:r>
    </w:p>
    <w:p>
      <w:pPr>
        <w:spacing w:after="0" w:line="139" w:lineRule="exact"/>
        <w:rPr>
          <w:sz w:val="20"/>
          <w:szCs w:val="20"/>
          <w:color w:val="auto"/>
        </w:rPr>
      </w:pPr>
    </w:p>
    <w:p>
      <w:pPr>
        <w:ind w:left="680" w:right="80"/>
        <w:spacing w:after="0" w:line="253" w:lineRule="auto"/>
        <w:rPr>
          <w:sz w:val="20"/>
          <w:szCs w:val="20"/>
          <w:color w:val="auto"/>
        </w:rPr>
      </w:pPr>
      <w:r>
        <w:rPr>
          <w:rFonts w:ascii="Arial" w:cs="Arial" w:eastAsia="Arial" w:hAnsi="Arial"/>
          <w:sz w:val="16"/>
          <w:szCs w:val="16"/>
          <w:i w:val="1"/>
          <w:iCs w:val="1"/>
          <w:color w:val="auto"/>
        </w:rPr>
        <w:t xml:space="preserve">2024 PSUs. </w:t>
      </w:r>
      <w:r>
        <w:rPr>
          <w:rFonts w:ascii="Arial" w:cs="Arial" w:eastAsia="Arial" w:hAnsi="Arial"/>
          <w:sz w:val="16"/>
          <w:szCs w:val="16"/>
          <w:color w:val="auto"/>
        </w:rPr>
        <w:t>As more fully described in the Company’s 2025 Proxy Statement, the 2024 PSUs were designed to vest based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attainment of specified performance targets for the Performance Cycle, thereby creating incentives for executive officers to achieve long-term performance goals aligned with our multi-year business strategy at the time of grant. The award agreements for such PSUs, as amended in 2024, provided that, if a “Qualifying Significant Event” occurred that was not also a “Change in Control,” the 2024 PSUs would automatically convert to time-vesting awards scheduled to fully vest on the last day of the Performance Cycle. The Business Combination, which occurred in 2025, was an event that triggered these provisions and, as such, resulted in the 2024 PSUs being converted into time-vesting awards that are now scheduled to fully vest on the last day of the Performance Cycle.</w:t>
      </w:r>
    </w:p>
    <w:p>
      <w:pPr>
        <w:spacing w:after="0" w:line="154" w:lineRule="exact"/>
        <w:rPr>
          <w:sz w:val="20"/>
          <w:szCs w:val="20"/>
          <w:color w:val="auto"/>
        </w:rPr>
      </w:pPr>
    </w:p>
    <w:p>
      <w:pPr>
        <w:ind w:left="680" w:right="60"/>
        <w:spacing w:after="0" w:line="321" w:lineRule="auto"/>
        <w:rPr>
          <w:sz w:val="20"/>
          <w:szCs w:val="20"/>
          <w:color w:val="auto"/>
        </w:rPr>
      </w:pPr>
      <w:r>
        <w:rPr>
          <w:rFonts w:ascii="Arial" w:cs="Arial" w:eastAsia="Arial" w:hAnsi="Arial"/>
          <w:sz w:val="15"/>
          <w:szCs w:val="15"/>
          <w:i w:val="1"/>
          <w:iCs w:val="1"/>
          <w:color w:val="auto"/>
        </w:rPr>
        <w:t>2024 RSUs</w:t>
      </w:r>
      <w:r>
        <w:rPr>
          <w:rFonts w:ascii="Arial" w:cs="Arial" w:eastAsia="Arial" w:hAnsi="Arial"/>
          <w:sz w:val="15"/>
          <w:szCs w:val="15"/>
          <w:color w:val="auto"/>
        </w:rPr>
        <w:t>. The 2024 RSUs were intended to align the interests of executive officers and shareholders and promote retention of key</w:t>
      </w:r>
      <w:r>
        <w:rPr>
          <w:rFonts w:ascii="Arial" w:cs="Arial" w:eastAsia="Arial" w:hAnsi="Arial"/>
          <w:sz w:val="15"/>
          <w:szCs w:val="15"/>
          <w:i w:val="1"/>
          <w:iCs w:val="1"/>
          <w:color w:val="auto"/>
        </w:rPr>
        <w:t xml:space="preserve"> </w:t>
      </w:r>
      <w:r>
        <w:rPr>
          <w:rFonts w:ascii="Arial" w:cs="Arial" w:eastAsia="Arial" w:hAnsi="Arial"/>
          <w:sz w:val="15"/>
          <w:szCs w:val="15"/>
          <w:color w:val="auto"/>
        </w:rPr>
        <w:t>talent over the vesting period, with one-third scheduled to vest on each of January 1, 2025, January 1, 2026 and January 1, 2027.</w:t>
      </w:r>
    </w:p>
    <w:p>
      <w:pPr>
        <w:spacing w:after="0" w:line="92" w:lineRule="exact"/>
        <w:rPr>
          <w:sz w:val="20"/>
          <w:szCs w:val="20"/>
          <w:color w:val="auto"/>
        </w:rPr>
      </w:pPr>
    </w:p>
    <w:p>
      <w:pPr>
        <w:ind w:left="680" w:right="140"/>
        <w:spacing w:after="0" w:line="259" w:lineRule="auto"/>
        <w:rPr>
          <w:sz w:val="20"/>
          <w:szCs w:val="20"/>
          <w:color w:val="auto"/>
        </w:rPr>
      </w:pPr>
      <w:r>
        <w:rPr>
          <w:rFonts w:ascii="Arial" w:cs="Arial" w:eastAsia="Arial" w:hAnsi="Arial"/>
          <w:sz w:val="16"/>
          <w:szCs w:val="16"/>
          <w:color w:val="auto"/>
        </w:rPr>
        <w:t>With respect to the awards summarized in this “Long-Term Incentive Compensation” section, the applicable award agreements, as amended, generally provide our NEOs with accelerated vesting upon certain qualifying terminations and, in the case of equity awards, upon a Change in Control. We believe these provisions provide equitable treatment for our executive officers and align their interests with those of our shareholders.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Transaction Incentive Plan</w:t>
      </w:r>
    </w:p>
    <w:p>
      <w:pPr>
        <w:spacing w:after="0" w:line="122" w:lineRule="exact"/>
        <w:rPr>
          <w:sz w:val="20"/>
          <w:szCs w:val="20"/>
          <w:color w:val="auto"/>
        </w:rPr>
      </w:pPr>
    </w:p>
    <w:p>
      <w:pPr>
        <w:ind w:left="680" w:right="180"/>
        <w:spacing w:after="0" w:line="254" w:lineRule="auto"/>
        <w:rPr>
          <w:sz w:val="20"/>
          <w:szCs w:val="20"/>
          <w:color w:val="auto"/>
        </w:rPr>
      </w:pPr>
      <w:r>
        <w:rPr>
          <w:rFonts w:ascii="Arial" w:cs="Arial" w:eastAsia="Arial" w:hAnsi="Arial"/>
          <w:sz w:val="16"/>
          <w:szCs w:val="16"/>
          <w:color w:val="auto"/>
        </w:rPr>
        <w:t>On February 2, 2024, the Board adopted the Transaction Incentive Plan. As subsequently amended, the Transaction Incentive Plan was designed to compensate our then-serving executive officers, including our NEOs, with cash bonus payments to be made in connection with the consummation of “Qualifying Transactions.” The Transaction Incentive Plan was in effect from January 1, 2024 until the earlier of January 1, 2027, and the occurrence of a Qualifying Significant Event (as defined below). The Business Combination qualified as a Qualifying Significant Event under the terms of the Transaction Incentive Plan. Thus, the Transaction Incentive Plan terminated in accordance with its terms as a result of the closing of the Business Combination in 2025.</w:t>
      </w:r>
    </w:p>
    <w:p>
      <w:pPr>
        <w:spacing w:after="0" w:line="141" w:lineRule="exact"/>
        <w:rPr>
          <w:sz w:val="20"/>
          <w:szCs w:val="20"/>
          <w:color w:val="auto"/>
        </w:rPr>
      </w:pPr>
    </w:p>
    <w:p>
      <w:pPr>
        <w:ind w:left="680" w:right="200"/>
        <w:spacing w:after="0" w:line="253" w:lineRule="auto"/>
        <w:rPr>
          <w:sz w:val="20"/>
          <w:szCs w:val="20"/>
          <w:color w:val="auto"/>
        </w:rPr>
      </w:pPr>
      <w:r>
        <w:rPr>
          <w:rFonts w:ascii="Arial" w:cs="Arial" w:eastAsia="Arial" w:hAnsi="Arial"/>
          <w:sz w:val="16"/>
          <w:szCs w:val="16"/>
          <w:color w:val="auto"/>
        </w:rPr>
        <w:t>The aggregate value of the bonuses payable under the Transaction Incentive Plan varied based on both (i) the amount of proceeds received by us, or the value attributed to us, in connection with the applicable Qualifying Transaction and (ii) when such Qualifying Transaction signed or closed, and was expressed as a percentage of the proceeds received by or the value attributed to us in connection with such Qualifying Transaction, provided that in no instance would the aggregate value of bonuses payable to eligible executive officers with respect to a Qualifying Transaction exceed 3%. To be eligible to receive a bonus payment, the executive officer generally must have been continuously employed by the Company from January 1, 2024 through the closing date of the Qualifying Transaction.</w:t>
      </w:r>
    </w:p>
    <w:p>
      <w:pPr>
        <w:sectPr>
          <w:pgSz w:w="11900" w:h="16838" w:orient="portrait"/>
          <w:cols w:equalWidth="0" w:num="1">
            <w:col w:w="10100"/>
          </w:cols>
          <w:pgMar w:left="580" w:top="97" w:right="1219" w:bottom="1440" w:gutter="0" w:footer="0" w:header="0"/>
        </w:sectPr>
      </w:pPr>
    </w:p>
    <w:p>
      <w:pPr>
        <w:spacing w:after="0" w:line="175"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27</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16" w:lineRule="exact"/>
        <w:rPr>
          <w:sz w:val="20"/>
          <w:szCs w:val="20"/>
          <w:color w:val="auto"/>
        </w:rPr>
      </w:pPr>
    </w:p>
    <w:p>
      <w:pPr>
        <w:ind w:left="680" w:right="260"/>
        <w:spacing w:after="0" w:line="256" w:lineRule="auto"/>
        <w:rPr>
          <w:sz w:val="20"/>
          <w:szCs w:val="20"/>
          <w:color w:val="auto"/>
        </w:rPr>
      </w:pPr>
      <w:r>
        <w:rPr>
          <w:rFonts w:ascii="Arial" w:cs="Arial" w:eastAsia="Arial" w:hAnsi="Arial"/>
          <w:sz w:val="16"/>
          <w:szCs w:val="16"/>
          <w:color w:val="auto"/>
        </w:rPr>
        <w:t>Each bonus payment earned under the Transaction Incentive Plan was to be generally delivered 50% in connection with closing of the applicable Qualifying Transaction and 50% on the earlier of (i) December 31, 2026 or a Qualifying Significant Event and</w:t>
      </w:r>
    </w:p>
    <w:p>
      <w:pPr>
        <w:spacing w:after="0" w:line="1" w:lineRule="exact"/>
        <w:rPr>
          <w:sz w:val="20"/>
          <w:szCs w:val="20"/>
          <w:color w:val="auto"/>
        </w:rPr>
      </w:pPr>
    </w:p>
    <w:p>
      <w:pPr>
        <w:ind w:left="680" w:right="100" w:hanging="8"/>
        <w:spacing w:after="0" w:line="251" w:lineRule="auto"/>
        <w:tabs>
          <w:tab w:leader="none" w:pos="899"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certain sales, dispositions or similar transactions (a “Significant Asset Transaction”) that met criteria specified in the Transaction Incentive Plan (“Final Payment Date”). The service period required for the Transaction Incentive Plan was January 1, 2024 through the Final Payment Date, subject to certain exceptions. A “Qualifying Significant Event,” was defined in the Transaction Incentive Plan as the consummation of a reorganization, merger, takeover, scheme of arrangement or consolidation or sale, or similar transaction that meets certain criteria specified in the Transaction Incentive Plan.</w:t>
      </w:r>
    </w:p>
    <w:p>
      <w:pPr>
        <w:spacing w:after="0" w:line="142" w:lineRule="exact"/>
        <w:rPr>
          <w:sz w:val="20"/>
          <w:szCs w:val="20"/>
          <w:color w:val="auto"/>
        </w:rPr>
      </w:pPr>
    </w:p>
    <w:p>
      <w:pPr>
        <w:ind w:left="680" w:right="80"/>
        <w:spacing w:after="0" w:line="259" w:lineRule="auto"/>
        <w:rPr>
          <w:sz w:val="20"/>
          <w:szCs w:val="20"/>
          <w:color w:val="auto"/>
        </w:rPr>
      </w:pPr>
      <w:r>
        <w:rPr>
          <w:rFonts w:ascii="Arial" w:cs="Arial" w:eastAsia="Arial" w:hAnsi="Arial"/>
          <w:sz w:val="16"/>
          <w:szCs w:val="16"/>
          <w:color w:val="auto"/>
        </w:rPr>
        <w:t>The 2024 Therakos Divestiture qualified as a Qualifying Transaction and the July 2025 Business Combination qualified as both a Qualifying Transaction and a Qualifying Significant Event under the Transaction Incentive Plan. As a result, the Final Payment Date was triggered by the closing of the Business Combination. The amounts paid to the NEOs pursuant to the Transaction Incentive Plan during fiscal 2025 are summarized in the table below.</w:t>
      </w:r>
    </w:p>
    <w:p>
      <w:pPr>
        <w:spacing w:after="0" w:line="17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00514B"/>
        </w:rPr>
        <w:t>2025 Transaction Incentive Plan Bonus Payments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4760" w:type="dxa"/>
            <w:vAlign w:val="bottom"/>
            <w:shd w:val="clear" w:color="auto" w:fill="B2EEDE"/>
          </w:tcPr>
          <w:p>
            <w:pPr>
              <w:spacing w:after="0"/>
              <w:rPr>
                <w:sz w:val="16"/>
                <w:szCs w:val="16"/>
                <w:color w:val="auto"/>
              </w:rPr>
            </w:pPr>
          </w:p>
        </w:tc>
        <w:tc>
          <w:tcPr>
            <w:tcW w:w="3360" w:type="dxa"/>
            <w:vAlign w:val="bottom"/>
            <w:shd w:val="clear" w:color="auto" w:fill="B2EEDE"/>
          </w:tcPr>
          <w:p>
            <w:pPr>
              <w:spacing w:after="0"/>
              <w:rPr>
                <w:sz w:val="16"/>
                <w:szCs w:val="16"/>
                <w:color w:val="auto"/>
              </w:rPr>
            </w:pPr>
          </w:p>
        </w:tc>
        <w:tc>
          <w:tcPr>
            <w:tcW w:w="280" w:type="dxa"/>
            <w:vAlign w:val="bottom"/>
            <w:shd w:val="clear" w:color="auto" w:fill="B2EEDE"/>
          </w:tcPr>
          <w:p>
            <w:pPr>
              <w:spacing w:after="0"/>
              <w:rPr>
                <w:sz w:val="16"/>
                <w:szCs w:val="16"/>
                <w:color w:val="auto"/>
              </w:rPr>
            </w:pPr>
          </w:p>
        </w:tc>
        <w:tc>
          <w:tcPr>
            <w:tcW w:w="880" w:type="dxa"/>
            <w:vAlign w:val="bottom"/>
            <w:shd w:val="clear" w:color="auto" w:fill="B2EEDE"/>
          </w:tcPr>
          <w:p>
            <w:pPr>
              <w:jc w:val="right"/>
              <w:ind w:right="301"/>
              <w:spacing w:after="0"/>
              <w:rPr>
                <w:sz w:val="20"/>
                <w:szCs w:val="20"/>
                <w:color w:val="auto"/>
              </w:rPr>
            </w:pPr>
            <w:r>
              <w:rPr>
                <w:rFonts w:ascii="Arial" w:cs="Arial" w:eastAsia="Arial" w:hAnsi="Arial"/>
                <w:sz w:val="14"/>
                <w:szCs w:val="14"/>
                <w:b w:val="1"/>
                <w:bCs w:val="1"/>
                <w:color w:val="auto"/>
              </w:rPr>
              <w:t>Bonus</w:t>
            </w:r>
          </w:p>
        </w:tc>
        <w:tc>
          <w:tcPr>
            <w:tcW w:w="120" w:type="dxa"/>
            <w:vAlign w:val="bottom"/>
            <w:shd w:val="clear" w:color="auto" w:fill="B2EEDE"/>
          </w:tcPr>
          <w:p>
            <w:pPr>
              <w:spacing w:after="0"/>
              <w:rPr>
                <w:sz w:val="16"/>
                <w:szCs w:val="16"/>
                <w:color w:val="auto"/>
              </w:rPr>
            </w:pPr>
          </w:p>
        </w:tc>
      </w:tr>
      <w:tr>
        <w:trPr>
          <w:trHeight w:val="176"/>
        </w:trPr>
        <w:tc>
          <w:tcPr>
            <w:tcW w:w="4760" w:type="dxa"/>
            <w:vAlign w:val="bottom"/>
            <w:shd w:val="clear" w:color="auto" w:fill="B2EEDE"/>
          </w:tcPr>
          <w:p>
            <w:pPr>
              <w:spacing w:after="0"/>
              <w:rPr>
                <w:sz w:val="15"/>
                <w:szCs w:val="15"/>
                <w:color w:val="auto"/>
              </w:rPr>
            </w:pPr>
          </w:p>
        </w:tc>
        <w:tc>
          <w:tcPr>
            <w:tcW w:w="3360" w:type="dxa"/>
            <w:vAlign w:val="bottom"/>
            <w:shd w:val="clear" w:color="auto" w:fill="B2EEDE"/>
          </w:tcPr>
          <w:p>
            <w:pPr>
              <w:spacing w:after="0"/>
              <w:rPr>
                <w:sz w:val="15"/>
                <w:szCs w:val="15"/>
                <w:color w:val="auto"/>
              </w:rPr>
            </w:pPr>
          </w:p>
        </w:tc>
        <w:tc>
          <w:tcPr>
            <w:tcW w:w="1160" w:type="dxa"/>
            <w:vAlign w:val="bottom"/>
            <w:gridSpan w:val="2"/>
            <w:shd w:val="clear" w:color="auto" w:fill="B2EEDE"/>
          </w:tcPr>
          <w:p>
            <w:pPr>
              <w:jc w:val="right"/>
              <w:spacing w:after="0"/>
              <w:rPr>
                <w:sz w:val="20"/>
                <w:szCs w:val="20"/>
                <w:color w:val="auto"/>
              </w:rPr>
            </w:pPr>
            <w:r>
              <w:rPr>
                <w:rFonts w:ascii="Arial" w:cs="Arial" w:eastAsia="Arial" w:hAnsi="Arial"/>
                <w:sz w:val="14"/>
                <w:szCs w:val="14"/>
                <w:b w:val="1"/>
                <w:bCs w:val="1"/>
                <w:color w:val="auto"/>
              </w:rPr>
              <w:t>Payment at Final</w:t>
            </w:r>
          </w:p>
        </w:tc>
        <w:tc>
          <w:tcPr>
            <w:tcW w:w="120" w:type="dxa"/>
            <w:vAlign w:val="bottom"/>
            <w:shd w:val="clear" w:color="auto" w:fill="B2EEDE"/>
          </w:tcPr>
          <w:p>
            <w:pPr>
              <w:spacing w:after="0"/>
              <w:rPr>
                <w:sz w:val="15"/>
                <w:szCs w:val="15"/>
                <w:color w:val="auto"/>
              </w:rPr>
            </w:pPr>
          </w:p>
        </w:tc>
      </w:tr>
      <w:tr>
        <w:trPr>
          <w:trHeight w:val="225"/>
        </w:trPr>
        <w:tc>
          <w:tcPr>
            <w:tcW w:w="4760" w:type="dxa"/>
            <w:vAlign w:val="bottom"/>
            <w:tcBorders>
              <w:bottom w:val="single" w:sz="8" w:color="auto"/>
            </w:tcBorders>
            <w:shd w:val="clear" w:color="auto" w:fill="B2EEDE"/>
          </w:tcPr>
          <w:p>
            <w:pPr>
              <w:ind w:left="2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w:t>
            </w:r>
          </w:p>
        </w:tc>
        <w:tc>
          <w:tcPr>
            <w:tcW w:w="3360" w:type="dxa"/>
            <w:vAlign w:val="bottom"/>
            <w:tcBorders>
              <w:bottom w:val="single" w:sz="8" w:color="auto"/>
            </w:tcBorders>
            <w:shd w:val="clear" w:color="auto" w:fill="B2EEDE"/>
          </w:tcPr>
          <w:p>
            <w:pPr>
              <w:ind w:left="3140"/>
              <w:spacing w:after="0"/>
              <w:rPr>
                <w:sz w:val="20"/>
                <w:szCs w:val="20"/>
                <w:color w:val="auto"/>
              </w:rPr>
            </w:pPr>
            <w:r>
              <w:rPr>
                <w:rFonts w:ascii="Arial" w:cs="Arial" w:eastAsia="Arial" w:hAnsi="Arial"/>
                <w:sz w:val="14"/>
                <w:szCs w:val="14"/>
                <w:b w:val="1"/>
                <w:bCs w:val="1"/>
                <w:color w:val="auto"/>
              </w:rPr>
              <w:t>​ ​</w:t>
            </w:r>
          </w:p>
        </w:tc>
        <w:tc>
          <w:tcPr>
            <w:tcW w:w="1160" w:type="dxa"/>
            <w:vAlign w:val="bottom"/>
            <w:tcBorders>
              <w:bottom w:val="single" w:sz="8" w:color="auto"/>
            </w:tcBorders>
            <w:gridSpan w:val="2"/>
            <w:shd w:val="clear" w:color="auto" w:fill="B2EEDE"/>
          </w:tcPr>
          <w:p>
            <w:pPr>
              <w:ind w:left="12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tcBorders>
              <w:bottom w:val="single" w:sz="8" w:color="auto"/>
            </w:tcBorders>
            <w:shd w:val="clear" w:color="auto" w:fill="B2EEDE"/>
          </w:tcPr>
          <w:p>
            <w:pPr>
              <w:ind w:left="20"/>
              <w:spacing w:after="0"/>
              <w:rPr>
                <w:sz w:val="20"/>
                <w:szCs w:val="20"/>
                <w:color w:val="auto"/>
              </w:rPr>
            </w:pPr>
            <w:r>
              <w:rPr>
                <w:rFonts w:ascii="Arial" w:cs="Arial" w:eastAsia="Arial" w:hAnsi="Arial"/>
                <w:sz w:val="14"/>
                <w:szCs w:val="14"/>
                <w:b w:val="1"/>
                <w:bCs w:val="1"/>
                <w:color w:val="auto"/>
              </w:rPr>
              <w:t>​</w:t>
            </w:r>
          </w:p>
        </w:tc>
      </w:tr>
      <w:tr>
        <w:trPr>
          <w:trHeight w:val="250"/>
        </w:trPr>
        <w:tc>
          <w:tcPr>
            <w:tcW w:w="4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Sigurdur O. Olafsson</w:t>
            </w:r>
          </w:p>
        </w:tc>
        <w:tc>
          <w:tcPr>
            <w:tcW w:w="3360" w:type="dxa"/>
            <w:vAlign w:val="bottom"/>
            <w:tcBorders>
              <w:bottom w:val="single" w:sz="8" w:color="auto"/>
            </w:tcBorders>
          </w:tcPr>
          <w:p>
            <w:pPr>
              <w:ind w:left="320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gridSpan w:val="2"/>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$34,436,542</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0"/>
        </w:trPr>
        <w:tc>
          <w:tcPr>
            <w:tcW w:w="476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Henriette Nielsen</w:t>
            </w:r>
          </w:p>
        </w:tc>
        <w:tc>
          <w:tcPr>
            <w:tcW w:w="3360" w:type="dxa"/>
            <w:vAlign w:val="bottom"/>
            <w:tcBorders>
              <w:bottom w:val="single" w:sz="8" w:color="auto"/>
            </w:tcBorders>
            <w:shd w:val="clear" w:color="auto" w:fill="E5E5E5"/>
          </w:tcPr>
          <w:p>
            <w:pPr>
              <w:ind w:left="320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auto"/>
            </w:tcBorders>
            <w:shd w:val="clear" w:color="auto" w:fill="E5E5E5"/>
          </w:tcPr>
          <w:p>
            <w:pPr>
              <w:jc w:val="right"/>
              <w:ind w:right="41"/>
              <w:spacing w:after="0"/>
              <w:rPr>
                <w:sz w:val="20"/>
                <w:szCs w:val="20"/>
                <w:color w:val="auto"/>
              </w:rPr>
            </w:pPr>
            <w:r>
              <w:rPr>
                <w:rFonts w:ascii="Arial" w:cs="Arial" w:eastAsia="Arial" w:hAnsi="Arial"/>
                <w:sz w:val="16"/>
                <w:szCs w:val="16"/>
                <w:color w:val="auto"/>
              </w:rPr>
              <w:t>6,507,693</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w:t>
            </w:r>
          </w:p>
        </w:tc>
      </w:tr>
      <w:tr>
        <w:trPr>
          <w:trHeight w:val="250"/>
        </w:trPr>
        <w:tc>
          <w:tcPr>
            <w:tcW w:w="4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Lisa French</w:t>
            </w:r>
          </w:p>
        </w:tc>
        <w:tc>
          <w:tcPr>
            <w:tcW w:w="3360" w:type="dxa"/>
            <w:vAlign w:val="bottom"/>
            <w:tcBorders>
              <w:bottom w:val="single" w:sz="8" w:color="auto"/>
            </w:tcBorders>
          </w:tcPr>
          <w:p>
            <w:pPr>
              <w:ind w:left="320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6,507,693</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0"/>
        </w:trPr>
        <w:tc>
          <w:tcPr>
            <w:tcW w:w="476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Mark A. Tyndall</w:t>
            </w:r>
          </w:p>
        </w:tc>
        <w:tc>
          <w:tcPr>
            <w:tcW w:w="3360" w:type="dxa"/>
            <w:vAlign w:val="bottom"/>
            <w:tcBorders>
              <w:bottom w:val="single" w:sz="8" w:color="auto"/>
            </w:tcBorders>
            <w:shd w:val="clear" w:color="auto" w:fill="E5E5E5"/>
          </w:tcPr>
          <w:p>
            <w:pPr>
              <w:ind w:left="320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auto"/>
            </w:tcBorders>
            <w:shd w:val="clear" w:color="auto" w:fill="E5E5E5"/>
          </w:tcPr>
          <w:p>
            <w:pPr>
              <w:jc w:val="right"/>
              <w:ind w:right="41"/>
              <w:spacing w:after="0"/>
              <w:rPr>
                <w:sz w:val="20"/>
                <w:szCs w:val="20"/>
                <w:color w:val="auto"/>
              </w:rPr>
            </w:pPr>
            <w:r>
              <w:rPr>
                <w:rFonts w:ascii="Arial" w:cs="Arial" w:eastAsia="Arial" w:hAnsi="Arial"/>
                <w:sz w:val="16"/>
                <w:szCs w:val="16"/>
                <w:color w:val="auto"/>
              </w:rPr>
              <w:t>6,507,693</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w:t>
            </w:r>
          </w:p>
        </w:tc>
      </w:tr>
      <w:tr>
        <w:trPr>
          <w:trHeight w:val="237"/>
        </w:trPr>
        <w:tc>
          <w:tcPr>
            <w:tcW w:w="4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​Bryan M. Reasons</w:t>
            </w:r>
          </w:p>
        </w:tc>
        <w:tc>
          <w:tcPr>
            <w:tcW w:w="3360" w:type="dxa"/>
            <w:vAlign w:val="bottom"/>
            <w:tcBorders>
              <w:bottom w:val="single" w:sz="8" w:color="auto"/>
            </w:tcBorders>
          </w:tcPr>
          <w:p>
            <w:pPr>
              <w:ind w:left="320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8,134,616</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Other Benefits</w:t>
      </w:r>
    </w:p>
    <w:p>
      <w:pPr>
        <w:spacing w:after="0" w:line="122" w:lineRule="exact"/>
        <w:rPr>
          <w:sz w:val="20"/>
          <w:szCs w:val="20"/>
          <w:color w:val="auto"/>
        </w:rPr>
      </w:pPr>
    </w:p>
    <w:p>
      <w:pPr>
        <w:ind w:left="680" w:right="220"/>
        <w:spacing w:after="0" w:line="266" w:lineRule="auto"/>
        <w:rPr>
          <w:sz w:val="20"/>
          <w:szCs w:val="20"/>
          <w:color w:val="auto"/>
        </w:rPr>
      </w:pPr>
      <w:r>
        <w:rPr>
          <w:rFonts w:ascii="Arial" w:cs="Arial" w:eastAsia="Arial" w:hAnsi="Arial"/>
          <w:sz w:val="16"/>
          <w:szCs w:val="16"/>
          <w:color w:val="auto"/>
        </w:rPr>
        <w:t>We provide our NEOs with the same benefits that are provided to all employees, including defined contribution retirement benefits and health and welfare benefits. Our executive officers are provided with certain additional benefits, intended to be competitive with the practices at similar companies.</w:t>
      </w:r>
    </w:p>
    <w:p>
      <w:pPr>
        <w:spacing w:after="0" w:line="131" w:lineRule="exact"/>
        <w:rPr>
          <w:sz w:val="20"/>
          <w:szCs w:val="20"/>
          <w:color w:val="auto"/>
        </w:rPr>
      </w:pPr>
    </w:p>
    <w:p>
      <w:pPr>
        <w:ind w:left="680" w:right="120"/>
        <w:spacing w:after="0" w:line="259" w:lineRule="auto"/>
        <w:rPr>
          <w:sz w:val="20"/>
          <w:szCs w:val="20"/>
          <w:color w:val="auto"/>
        </w:rPr>
      </w:pPr>
      <w:r>
        <w:rPr>
          <w:rFonts w:ascii="Arial" w:cs="Arial" w:eastAsia="Arial" w:hAnsi="Arial"/>
          <w:sz w:val="16"/>
          <w:szCs w:val="16"/>
          <w:i w:val="1"/>
          <w:iCs w:val="1"/>
          <w:color w:val="auto"/>
        </w:rPr>
        <w:t>Retirement Benefits</w:t>
      </w:r>
      <w:r>
        <w:rPr>
          <w:rFonts w:ascii="Arial" w:cs="Arial" w:eastAsia="Arial" w:hAnsi="Arial"/>
          <w:sz w:val="16"/>
          <w:szCs w:val="16"/>
          <w:color w:val="auto"/>
        </w:rPr>
        <w:t>. The NEOs are eligible to participate in our 401(k) plan available to all eligible U.S. employees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Savings and Retirement Plan (the “Supplemental Savings Plan”), which is our non-qualified deferred compensation plan in which executive officers and other senior employees may participate. The Supplemental Savings Plan is a so-called “excess” plan that extends the 401(k) benefits beyond the Internal Revenue Code (the “Code”) limitations.</w:t>
      </w:r>
    </w:p>
    <w:p>
      <w:pPr>
        <w:spacing w:after="0" w:line="137" w:lineRule="exact"/>
        <w:rPr>
          <w:sz w:val="20"/>
          <w:szCs w:val="20"/>
          <w:color w:val="auto"/>
        </w:rPr>
      </w:pPr>
    </w:p>
    <w:p>
      <w:pPr>
        <w:ind w:left="680" w:right="200"/>
        <w:spacing w:after="0" w:line="266"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 Under the 401(k) plan, we make an automatic contribution of 3% of an employee’s eligible pay, irrespective of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the employee contributes to such plan. Additionally, we match $0.50 for every dollar employees contribute, up to the first 8% of eligible pay up to the applicable U.S. Internal Revenue Service (“IRS”) limits.</w:t>
      </w:r>
    </w:p>
    <w:p>
      <w:pPr>
        <w:spacing w:after="0" w:line="144" w:lineRule="exact"/>
        <w:rPr>
          <w:sz w:val="20"/>
          <w:szCs w:val="20"/>
          <w:color w:val="auto"/>
        </w:rPr>
      </w:pPr>
    </w:p>
    <w:p>
      <w:pPr>
        <w:ind w:left="680" w:right="340"/>
        <w:spacing w:after="0" w:line="286" w:lineRule="auto"/>
        <w:rPr>
          <w:sz w:val="20"/>
          <w:szCs w:val="20"/>
          <w:color w:val="auto"/>
        </w:rPr>
      </w:pPr>
      <w:r>
        <w:rPr>
          <w:rFonts w:ascii="Arial" w:cs="Arial" w:eastAsia="Arial" w:hAnsi="Arial"/>
          <w:sz w:val="16"/>
          <w:szCs w:val="16"/>
          <w:color w:val="auto"/>
        </w:rPr>
        <w:t>Participants are fully vested in Company contributions (including earnings on such contributions) upon the earlier of completion of two years of service or attainment of age 55.</w:t>
      </w:r>
    </w:p>
    <w:p>
      <w:pPr>
        <w:spacing w:after="0" w:line="115" w:lineRule="exact"/>
        <w:rPr>
          <w:sz w:val="20"/>
          <w:szCs w:val="20"/>
          <w:color w:val="auto"/>
        </w:rPr>
      </w:pPr>
    </w:p>
    <w:p>
      <w:pPr>
        <w:ind w:left="680" w:right="300"/>
        <w:spacing w:after="0" w:line="286" w:lineRule="auto"/>
        <w:rPr>
          <w:sz w:val="20"/>
          <w:szCs w:val="20"/>
          <w:color w:val="auto"/>
        </w:rPr>
      </w:pPr>
      <w:r>
        <w:rPr>
          <w:rFonts w:ascii="Arial" w:cs="Arial" w:eastAsia="Arial" w:hAnsi="Arial"/>
          <w:sz w:val="16"/>
          <w:szCs w:val="16"/>
          <w:i w:val="1"/>
          <w:iCs w:val="1"/>
          <w:color w:val="auto"/>
        </w:rPr>
        <w:t>Supplemental Savings Plan</w:t>
      </w:r>
      <w:r>
        <w:rPr>
          <w:rFonts w:ascii="Arial" w:cs="Arial" w:eastAsia="Arial" w:hAnsi="Arial"/>
          <w:sz w:val="16"/>
          <w:szCs w:val="16"/>
          <w:color w:val="auto"/>
        </w:rPr>
        <w:t>. Under the Supplemental Savings Plan, participants are eligible to receive Company credits of 6% on</w:t>
      </w:r>
      <w:r>
        <w:rPr>
          <w:rFonts w:ascii="Arial" w:cs="Arial" w:eastAsia="Arial" w:hAnsi="Arial"/>
          <w:sz w:val="16"/>
          <w:szCs w:val="16"/>
          <w:i w:val="1"/>
          <w:iCs w:val="1"/>
          <w:color w:val="auto"/>
        </w:rPr>
        <w:t xml:space="preserve"> </w:t>
      </w:r>
      <w:r>
        <w:rPr>
          <w:rFonts w:ascii="Arial" w:cs="Arial" w:eastAsia="Arial" w:hAnsi="Arial"/>
          <w:sz w:val="16"/>
          <w:szCs w:val="16"/>
          <w:color w:val="auto"/>
        </w:rPr>
        <w:t>any cash compensation that the participant earns during a calendar year in excess of applicable IRS limits.</w:t>
      </w:r>
    </w:p>
    <w:p>
      <w:pPr>
        <w:spacing w:after="0" w:line="115" w:lineRule="exact"/>
        <w:rPr>
          <w:sz w:val="20"/>
          <w:szCs w:val="20"/>
          <w:color w:val="auto"/>
        </w:rPr>
      </w:pPr>
    </w:p>
    <w:p>
      <w:pPr>
        <w:ind w:left="680" w:right="200"/>
        <w:spacing w:after="0" w:line="253" w:lineRule="auto"/>
        <w:rPr>
          <w:sz w:val="20"/>
          <w:szCs w:val="20"/>
          <w:color w:val="auto"/>
        </w:rPr>
      </w:pPr>
      <w:r>
        <w:rPr>
          <w:rFonts w:ascii="Arial" w:cs="Arial" w:eastAsia="Arial" w:hAnsi="Arial"/>
          <w:sz w:val="16"/>
          <w:szCs w:val="16"/>
          <w:color w:val="auto"/>
        </w:rPr>
        <w:t>Participants are fully vested in Company credits (including earnings on such credits) upon the earlier of completion of two years of service and attainment of age 55. The Supplemental Savings Plan is a non-qualified deferred compensation plan that is maintained as an unfunded “top-hat” plan and is designed to comply with Section 409A of the Code. Amounts credited to the Supplemental Savings Plan as Company credits may also be credited with earnings (or losses) based upon investment selections made by each participant from investments that generally mirror investments offered under 401(k) plan. Participants may elect whether they will receive a distribution of their Supplemental Savings Plan account balances upon termination of employment or at a specified date. Distributions can be made in a lump sum or in up to 15 annual installments.</w:t>
      </w:r>
    </w:p>
    <w:p>
      <w:pPr>
        <w:spacing w:after="0" w:line="154" w:lineRule="exact"/>
        <w:rPr>
          <w:sz w:val="20"/>
          <w:szCs w:val="20"/>
          <w:color w:val="auto"/>
        </w:rPr>
      </w:pPr>
    </w:p>
    <w:p>
      <w:pPr>
        <w:ind w:left="680" w:right="200"/>
        <w:spacing w:after="0" w:line="259" w:lineRule="auto"/>
        <w:rPr>
          <w:sz w:val="20"/>
          <w:szCs w:val="20"/>
          <w:color w:val="auto"/>
        </w:rPr>
      </w:pPr>
      <w:r>
        <w:rPr>
          <w:rFonts w:ascii="Arial" w:cs="Arial" w:eastAsia="Arial" w:hAnsi="Arial"/>
          <w:sz w:val="16"/>
          <w:szCs w:val="16"/>
          <w:i w:val="1"/>
          <w:iCs w:val="1"/>
          <w:color w:val="auto"/>
        </w:rPr>
        <w:t>Health and Welfare Benefits</w:t>
      </w:r>
      <w:r>
        <w:rPr>
          <w:rFonts w:ascii="Arial" w:cs="Arial" w:eastAsia="Arial" w:hAnsi="Arial"/>
          <w:sz w:val="16"/>
          <w:szCs w:val="16"/>
          <w:color w:val="auto"/>
        </w:rPr>
        <w:t>. The health and welfare benefits we provide to the NEOs are offered to all eligible U.S.-based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include medical, dental, prescription drug, vision, life insurance, accidental death and dismemberment, business travel accident, personal and family accident, flexible spending accounts, short- and long-term disability coverage and an employee assistance program.</w:t>
      </w:r>
    </w:p>
    <w:p>
      <w:pPr>
        <w:spacing w:after="0" w:line="137" w:lineRule="exact"/>
        <w:rPr>
          <w:sz w:val="20"/>
          <w:szCs w:val="20"/>
          <w:color w:val="auto"/>
        </w:rPr>
      </w:pPr>
    </w:p>
    <w:p>
      <w:pPr>
        <w:ind w:left="680" w:right="60"/>
        <w:spacing w:after="0" w:line="266" w:lineRule="auto"/>
        <w:rPr>
          <w:sz w:val="20"/>
          <w:szCs w:val="20"/>
          <w:color w:val="auto"/>
        </w:rPr>
      </w:pPr>
      <w:r>
        <w:rPr>
          <w:rFonts w:ascii="Arial" w:cs="Arial" w:eastAsia="Arial" w:hAnsi="Arial"/>
          <w:sz w:val="16"/>
          <w:szCs w:val="16"/>
          <w:i w:val="1"/>
          <w:iCs w:val="1"/>
          <w:color w:val="auto"/>
        </w:rPr>
        <w:t>Additional Benefits</w:t>
      </w:r>
      <w:r>
        <w:rPr>
          <w:rFonts w:ascii="Arial" w:cs="Arial" w:eastAsia="Arial" w:hAnsi="Arial"/>
          <w:sz w:val="16"/>
          <w:szCs w:val="16"/>
          <w:color w:val="auto"/>
        </w:rPr>
        <w:t>. We maintain an executive physical examination program and an executive financial and tax planning program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These programs are intended to encourage executive officers to proactively manage their health and complex financial/tax situations, thereby enabling them to focus on the business. The benefits are periodically assessed and intended to be</w:t>
      </w:r>
    </w:p>
    <w:p>
      <w:pPr>
        <w:spacing w:after="0" w:line="308" w:lineRule="exact"/>
        <w:rPr>
          <w:sz w:val="20"/>
          <w:szCs w:val="20"/>
          <w:color w:val="auto"/>
        </w:rPr>
      </w:pPr>
    </w:p>
    <w:p>
      <w:pPr>
        <w:ind w:left="680"/>
        <w:spacing w:after="0"/>
        <w:tabs>
          <w:tab w:leader="none" w:pos="5260" w:val="left"/>
          <w:tab w:leader="none" w:pos="10040" w:val="left"/>
        </w:tabs>
        <w:rPr>
          <w:sz w:val="20"/>
          <w:szCs w:val="20"/>
          <w:color w:val="auto"/>
        </w:rPr>
      </w:pPr>
      <w:r>
        <w:rPr>
          <w:rFonts w:ascii="Arial" w:cs="Arial" w:eastAsia="Arial" w:hAnsi="Arial"/>
          <w:sz w:val="13"/>
          <w:szCs w:val="13"/>
          <w:color w:val="323232"/>
        </w:rPr>
        <w:t>​28 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-43180</wp:posOffset>
            </wp:positionV>
            <wp:extent cx="44577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770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16" w:lineRule="exact"/>
        <w:rPr>
          <w:sz w:val="20"/>
          <w:szCs w:val="20"/>
          <w:color w:val="auto"/>
        </w:rPr>
      </w:pPr>
    </w:p>
    <w:p>
      <w:pPr>
        <w:ind w:left="680" w:right="180"/>
        <w:spacing w:after="0" w:line="266" w:lineRule="auto"/>
        <w:rPr>
          <w:sz w:val="20"/>
          <w:szCs w:val="20"/>
          <w:color w:val="auto"/>
        </w:rPr>
      </w:pPr>
      <w:r>
        <w:rPr>
          <w:rFonts w:ascii="Arial" w:cs="Arial" w:eastAsia="Arial" w:hAnsi="Arial"/>
          <w:sz w:val="16"/>
          <w:szCs w:val="16"/>
          <w:color w:val="auto"/>
        </w:rPr>
        <w:t>competitive for our industry. In addition, when we request a spouse or partner to attend a business meeting, such as our annual national sales recognition program for top performers, we reimburse executive officers for expenses related to this travel and for the income taxes associated with these travel expenses.</w:t>
      </w:r>
    </w:p>
    <w:p>
      <w:pPr>
        <w:spacing w:after="0" w:line="131" w:lineRule="exact"/>
        <w:rPr>
          <w:sz w:val="20"/>
          <w:szCs w:val="20"/>
          <w:color w:val="auto"/>
        </w:rPr>
      </w:pPr>
    </w:p>
    <w:p>
      <w:pPr>
        <w:ind w:left="680" w:right="260"/>
        <w:spacing w:after="0" w:line="286" w:lineRule="auto"/>
        <w:rPr>
          <w:sz w:val="20"/>
          <w:szCs w:val="20"/>
          <w:color w:val="auto"/>
        </w:rPr>
      </w:pPr>
      <w:r>
        <w:rPr>
          <w:rFonts w:ascii="Arial" w:cs="Arial" w:eastAsia="Arial" w:hAnsi="Arial"/>
          <w:sz w:val="16"/>
          <w:szCs w:val="16"/>
          <w:i w:val="1"/>
          <w:iCs w:val="1"/>
          <w:color w:val="auto"/>
        </w:rPr>
        <w:t>Severance Benefits</w:t>
      </w:r>
      <w:r>
        <w:rPr>
          <w:rFonts w:ascii="Arial" w:cs="Arial" w:eastAsia="Arial" w:hAnsi="Arial"/>
          <w:sz w:val="16"/>
          <w:szCs w:val="16"/>
          <w:color w:val="auto"/>
        </w:rPr>
        <w:t>. For detailed information on the severance benefits provided under the employment agreements of our NEOs,</w:t>
      </w:r>
      <w:r>
        <w:rPr>
          <w:rFonts w:ascii="Arial" w:cs="Arial" w:eastAsia="Arial" w:hAnsi="Arial"/>
          <w:sz w:val="16"/>
          <w:szCs w:val="16"/>
          <w:i w:val="1"/>
          <w:iCs w:val="1"/>
          <w:color w:val="auto"/>
        </w:rPr>
        <w:t xml:space="preserve"> </w:t>
      </w:r>
      <w:r>
        <w:rPr>
          <w:rFonts w:ascii="Arial" w:cs="Arial" w:eastAsia="Arial" w:hAnsi="Arial"/>
          <w:sz w:val="16"/>
          <w:szCs w:val="16"/>
          <w:color w:val="auto"/>
        </w:rPr>
        <w:t>see the section entitled “Executive Compensation — Potential Payments Upon Termination or Change in Control.”</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Post-Merger 2025 Executive Compensation Decisions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Employment Agreements with Mr. Olafsson</w:t>
      </w:r>
    </w:p>
    <w:p>
      <w:pPr>
        <w:spacing w:after="0" w:line="122" w:lineRule="exact"/>
        <w:rPr>
          <w:sz w:val="20"/>
          <w:szCs w:val="20"/>
          <w:color w:val="auto"/>
        </w:rPr>
      </w:pPr>
    </w:p>
    <w:p>
      <w:pPr>
        <w:ind w:left="680" w:right="180"/>
        <w:spacing w:after="0" w:line="250" w:lineRule="auto"/>
        <w:rPr>
          <w:sz w:val="20"/>
          <w:szCs w:val="20"/>
          <w:color w:val="auto"/>
        </w:rPr>
      </w:pPr>
      <w:r>
        <w:rPr>
          <w:rFonts w:ascii="Arial" w:cs="Arial" w:eastAsia="Arial" w:hAnsi="Arial"/>
          <w:sz w:val="16"/>
          <w:szCs w:val="16"/>
          <w:color w:val="auto"/>
        </w:rPr>
        <w:t>In connection with entering into the transaction agreement for the Business Combination, it was agreed that Mr. Olafsson would continue to serve as the CEO of the combined company. In order to retain Mr. Olafsson’s services after the Business Combination and promote continuity of leadership during a critical transformational period, on July 7, 2025, we entered into the Third Amended &amp; Restated Employment Agreement with Mr. Olafsson (the “2025 CEO Agreement”), which superseded his prior employment agreement. The 2025 CEO Agreement became effective upon completion of the Business Combination for a term ending on January 1, 2027. Pursuant to the 2025 CEO Agreement, Mr. Olafsson continued to be entitled to an initial annual base salary of $1,200,000, and was eligible to receive a performance-based annual bonus with a target amount of 200% of base salary and a maximum amount of 400% of base salary. Pursuant to the 2025 CEO Agreement, for fiscal 2025, Mr. Olafsson was entitled to (i) a pro-rata bonus for the pre-merger portion of the year based on the performance metrics and target and maximum bonus amounts that were in effect for that period, with such performance metrics adjusted by the HRCC in its sole discretion after consultation with Mr. Olafsson and (ii) a pro-rata bonus for the post-merger portion of the year using performance metrics mutually established and agreed upon by the Committee and Mr. Olafsson and target and maximum bonus amounts that were in effect for that period.</w:t>
      </w:r>
    </w:p>
    <w:p>
      <w:pPr>
        <w:spacing w:after="0" w:line="144" w:lineRule="exact"/>
        <w:rPr>
          <w:sz w:val="20"/>
          <w:szCs w:val="20"/>
          <w:color w:val="auto"/>
        </w:rPr>
      </w:pPr>
    </w:p>
    <w:p>
      <w:pPr>
        <w:ind w:left="680" w:right="100"/>
        <w:spacing w:after="0" w:line="254" w:lineRule="auto"/>
        <w:rPr>
          <w:sz w:val="20"/>
          <w:szCs w:val="20"/>
          <w:color w:val="auto"/>
        </w:rPr>
      </w:pPr>
      <w:r>
        <w:rPr>
          <w:rFonts w:ascii="Arial" w:cs="Arial" w:eastAsia="Arial" w:hAnsi="Arial"/>
          <w:sz w:val="16"/>
          <w:szCs w:val="16"/>
          <w:color w:val="auto"/>
        </w:rPr>
        <w:t>The 2025 CEO Agreement also provided, among other things, that the Company would (i) pay Mr. Olafsson a lump sum cash payment of $6,000,000 on or within 30 days following January 1, 2027, subject to his continued service through such date (the “CEO Cash Inducement Award”), and (ii) as soon as reasonably practicable following the effective date of the Business Combination, grant Mr. Olafsson a one-time equity grant in the form of RSUs with a fair value of $6,000,000 to vest on January 1, 2027, subject to his continued service through such date (the “CEO Equity Inducement Award” and together with the CEO Cash Inducement Award, the “CEO Inducement Awards”).</w:t>
      </w:r>
    </w:p>
    <w:p>
      <w:pPr>
        <w:spacing w:after="0" w:line="141" w:lineRule="exact"/>
        <w:rPr>
          <w:sz w:val="20"/>
          <w:szCs w:val="20"/>
          <w:color w:val="auto"/>
        </w:rPr>
      </w:pPr>
    </w:p>
    <w:p>
      <w:pPr>
        <w:ind w:left="680" w:right="60"/>
        <w:spacing w:after="0" w:line="286" w:lineRule="auto"/>
        <w:rPr>
          <w:sz w:val="20"/>
          <w:szCs w:val="20"/>
          <w:color w:val="auto"/>
        </w:rPr>
      </w:pPr>
      <w:r>
        <w:rPr>
          <w:rFonts w:ascii="Arial" w:cs="Arial" w:eastAsia="Arial" w:hAnsi="Arial"/>
          <w:sz w:val="16"/>
          <w:szCs w:val="16"/>
          <w:color w:val="auto"/>
        </w:rPr>
        <w:t>Pursuant to the 2025 CEO Agreement, the parties agreed to discuss in good faith entering into a longer-term employment agreement in the first half of 2026. On February 23, 2026, we entered into 2026 CEO Agreement with Mr. Olafsson.</w:t>
      </w:r>
    </w:p>
    <w:p>
      <w:pPr>
        <w:spacing w:after="0" w:line="129" w:lineRule="exact"/>
        <w:rPr>
          <w:sz w:val="20"/>
          <w:szCs w:val="20"/>
          <w:color w:val="auto"/>
        </w:rPr>
      </w:pPr>
    </w:p>
    <w:p>
      <w:pPr>
        <w:jc w:val="both"/>
        <w:ind w:left="680" w:right="500"/>
        <w:spacing w:after="0" w:line="266" w:lineRule="auto"/>
        <w:rPr>
          <w:sz w:val="20"/>
          <w:szCs w:val="20"/>
          <w:color w:val="auto"/>
        </w:rPr>
      </w:pPr>
      <w:r>
        <w:rPr>
          <w:rFonts w:ascii="Arial" w:cs="Arial" w:eastAsia="Arial" w:hAnsi="Arial"/>
          <w:sz w:val="16"/>
          <w:szCs w:val="16"/>
          <w:color w:val="auto"/>
        </w:rPr>
        <w:t>For additional information regarding these awards and the employment agreements with Mr. Olafsson see the discussion in the section entitled “Executive Compensation — Narrative Disclosure to Summary Compensation Table and Grants of Plan-Based Awards Table — Employment Agreements — Mr. Olafsson.”</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Employment Agreement with Ms. Stamoulis</w:t>
      </w:r>
    </w:p>
    <w:p>
      <w:pPr>
        <w:spacing w:after="0" w:line="122" w:lineRule="exact"/>
        <w:rPr>
          <w:sz w:val="20"/>
          <w:szCs w:val="20"/>
          <w:color w:val="auto"/>
        </w:rPr>
      </w:pPr>
    </w:p>
    <w:p>
      <w:pPr>
        <w:ind w:left="680" w:right="120"/>
        <w:spacing w:after="0" w:line="277" w:lineRule="auto"/>
        <w:rPr>
          <w:sz w:val="20"/>
          <w:szCs w:val="20"/>
          <w:color w:val="auto"/>
        </w:rPr>
      </w:pPr>
      <w:r>
        <w:rPr>
          <w:rFonts w:ascii="Arial" w:cs="Arial" w:eastAsia="Arial" w:hAnsi="Arial"/>
          <w:sz w:val="15"/>
          <w:szCs w:val="15"/>
          <w:color w:val="auto"/>
        </w:rPr>
        <w:t>On July 31, 2025, the Board appointed Christiana Stamoulis as President and Chief Financial Officer of the Company, effective as of September 22, 2025. In connection with her appointment, we entered into an employment agreement with Ms. Stamoulis (the “CFO Agreement”). Pursuant to the CFO Agreement, Ms. Stamoulis received an initial annual base salary of $875,000. Ms. Stamoulis is also eligible to receive a performance-based annual bonus with a target amount of 80% of base salary. For fiscal 2025,</w:t>
      </w:r>
    </w:p>
    <w:p>
      <w:pPr>
        <w:spacing w:after="0" w:line="3" w:lineRule="exact"/>
        <w:rPr>
          <w:sz w:val="20"/>
          <w:szCs w:val="20"/>
          <w:color w:val="auto"/>
        </w:rPr>
      </w:pPr>
    </w:p>
    <w:p>
      <w:pPr>
        <w:ind w:left="680" w:right="220"/>
        <w:spacing w:after="0" w:line="283" w:lineRule="auto"/>
        <w:rPr>
          <w:sz w:val="20"/>
          <w:szCs w:val="20"/>
          <w:color w:val="auto"/>
        </w:rPr>
      </w:pPr>
      <w:r>
        <w:rPr>
          <w:rFonts w:ascii="Arial" w:cs="Arial" w:eastAsia="Arial" w:hAnsi="Arial"/>
          <w:sz w:val="16"/>
          <w:szCs w:val="16"/>
          <w:color w:val="auto"/>
        </w:rPr>
        <w:t>Ms. Stamoulis’s annual bonus was guaranteed to equal at least $700,000 (which amount was to be to treated as her “target bonus” for purposes of the 2025 STIP) paid in accordance with the 2025 STIP.</w:t>
      </w:r>
    </w:p>
    <w:p>
      <w:pPr>
        <w:spacing w:after="0" w:line="131" w:lineRule="exact"/>
        <w:rPr>
          <w:sz w:val="20"/>
          <w:szCs w:val="20"/>
          <w:color w:val="auto"/>
        </w:rPr>
      </w:pPr>
    </w:p>
    <w:p>
      <w:pPr>
        <w:ind w:left="680" w:right="40"/>
        <w:spacing w:after="0" w:line="262" w:lineRule="auto"/>
        <w:rPr>
          <w:sz w:val="20"/>
          <w:szCs w:val="20"/>
          <w:color w:val="auto"/>
        </w:rPr>
      </w:pPr>
      <w:r>
        <w:rPr>
          <w:rFonts w:ascii="Arial" w:cs="Arial" w:eastAsia="Arial" w:hAnsi="Arial"/>
          <w:sz w:val="16"/>
          <w:szCs w:val="16"/>
          <w:color w:val="auto"/>
        </w:rPr>
        <w:t>In addition, the CFO Agreement provides that the Company will (i) pay Ms. Stamoulis a cash amount of $1,000,000 in two installments of $500,000 each, with the first installment vesting and becoming payable on July 1, 2026, and the second installment vesting and becoming payable on July 1, 2027, subject to her continued service through each such vesting date (the “CFO Cash Inducement Award”), and (ii) as soon as reasonably practicable following her start date, grant Ms. Stamoulis a one-time equity grant in the form of RSUs with a fair value of $8,400,000 to vest in substantially equal installments on each of December 15, 2025, December 15, 2026 and December 15, 2027, subject to her continued service through such dates (the “CFO Equity Inducement Award”). The CFO Equity Inducement Award was intended to partially compensate Ms. Stamoulis for forfeited equity awards granted prior to 2025 by her prior employer. The CFO Agreement also provides that commencing in fiscal 2026, Ms. Stamoulis’s target annual long-term incentive compensation grant will be no less than $5,000,000 per year. The CFO Agreement also provided that, for fiscal 2026 only, Ms. Stamoulis would receive an additional long-term incentive compensation grant of $2,000,000, intended to partially compensate her for forfeited equity awards granted in 2025 by her prior employer (the “Top-Up Award”).</w:t>
      </w:r>
    </w:p>
    <w:p>
      <w:pPr>
        <w:spacing w:after="0" w:line="153" w:lineRule="exact"/>
        <w:rPr>
          <w:sz w:val="20"/>
          <w:szCs w:val="20"/>
          <w:color w:val="auto"/>
        </w:rPr>
      </w:pPr>
    </w:p>
    <w:p>
      <w:pPr>
        <w:ind w:left="680" w:right="340"/>
        <w:spacing w:after="0" w:line="275" w:lineRule="auto"/>
        <w:rPr>
          <w:sz w:val="20"/>
          <w:szCs w:val="20"/>
          <w:color w:val="auto"/>
        </w:rPr>
      </w:pPr>
      <w:r>
        <w:rPr>
          <w:rFonts w:ascii="Arial" w:cs="Arial" w:eastAsia="Arial" w:hAnsi="Arial"/>
          <w:sz w:val="16"/>
          <w:szCs w:val="16"/>
          <w:color w:val="auto"/>
        </w:rPr>
        <w:t>For additional information regarding these awards and the CFO Agreement see the discussion in the section entitled “Executive Compensation — Narrative Disclosure to Summary Compensation Table and Grants of Plan-Based Awards Table — Employment Agreements — Ms. Stamoulis.”</w:t>
      </w:r>
    </w:p>
    <w:p>
      <w:pPr>
        <w:spacing w:after="0" w:line="158"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29</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Engagement of FW Cook</w:t>
      </w:r>
    </w:p>
    <w:p>
      <w:pPr>
        <w:spacing w:after="0" w:line="122" w:lineRule="exact"/>
        <w:rPr>
          <w:sz w:val="20"/>
          <w:szCs w:val="20"/>
          <w:color w:val="auto"/>
        </w:rPr>
      </w:pPr>
    </w:p>
    <w:p>
      <w:pPr>
        <w:ind w:left="680" w:right="80"/>
        <w:spacing w:after="0" w:line="252" w:lineRule="auto"/>
        <w:rPr>
          <w:sz w:val="20"/>
          <w:szCs w:val="20"/>
          <w:color w:val="auto"/>
        </w:rPr>
      </w:pPr>
      <w:r>
        <w:rPr>
          <w:rFonts w:ascii="Arial" w:cs="Arial" w:eastAsia="Arial" w:hAnsi="Arial"/>
          <w:sz w:val="16"/>
          <w:szCs w:val="16"/>
          <w:color w:val="auto"/>
        </w:rPr>
        <w:t>The HRCC utilizes the services of independent compensation consultants from time to time and has the sole authority to retain, compensate and terminate any such compensation consultants. In early September 2025, the HRCC determined to engage FW Cook as its independent consultant. FW Cook reported directly to the HRCC, and within its scope of services, FW Cook reviewed HRCC materials, attended HRCC meetings, reviewed our peer group and competitive positioning of individual executives versus market, assisted the HRCC with incentive compensation program design, conducted a compensation risk assessment, provided advice to the HRCC as compensation issues arose and provided recommendations on certain specific aspects of our compensation programs. The HRCC assessed the independence of FW Cook and determined that FW Cook was independent and that no conflicts of interest existed during fiscal 2025.</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Adoption of New Peer Group</w:t>
      </w:r>
    </w:p>
    <w:p>
      <w:pPr>
        <w:spacing w:after="0" w:line="122" w:lineRule="exact"/>
        <w:rPr>
          <w:sz w:val="20"/>
          <w:szCs w:val="20"/>
          <w:color w:val="auto"/>
        </w:rPr>
      </w:pPr>
    </w:p>
    <w:p>
      <w:pPr>
        <w:ind w:left="680" w:right="300"/>
        <w:spacing w:after="0" w:line="253" w:lineRule="auto"/>
        <w:rPr>
          <w:sz w:val="20"/>
          <w:szCs w:val="20"/>
          <w:color w:val="auto"/>
        </w:rPr>
      </w:pPr>
      <w:r>
        <w:rPr>
          <w:rFonts w:ascii="Arial" w:cs="Arial" w:eastAsia="Arial" w:hAnsi="Arial"/>
          <w:sz w:val="16"/>
          <w:szCs w:val="16"/>
          <w:color w:val="auto"/>
        </w:rPr>
        <w:t>The HRCC believes that executive compensation should be competitive, but not excessive, to attract, motivate and retain talented individuals who can achieve our strategic goals and create value. As such, the HRCC considers the competitive market for executives and compensation levels provided by comparable companies in making compensation decisions with respect to the elements of Keenova’s executive compensation program. While the HRCC does not believe that it is appropriate to establish compensation levels based solely on benchmarking, the HRCC does believe that information regarding pay practices at other companies is nevertheless useful as a tool to assess the reasonableness and competitiveness of the compensation practices of Keenova.</w:t>
      </w:r>
    </w:p>
    <w:p>
      <w:pPr>
        <w:spacing w:after="0" w:line="141" w:lineRule="exact"/>
        <w:rPr>
          <w:sz w:val="20"/>
          <w:szCs w:val="20"/>
          <w:color w:val="auto"/>
        </w:rPr>
      </w:pPr>
    </w:p>
    <w:p>
      <w:pPr>
        <w:ind w:left="680" w:right="80"/>
        <w:spacing w:after="0" w:line="252" w:lineRule="auto"/>
        <w:rPr>
          <w:sz w:val="20"/>
          <w:szCs w:val="20"/>
          <w:color w:val="auto"/>
        </w:rPr>
      </w:pPr>
      <w:r>
        <w:rPr>
          <w:rFonts w:ascii="Arial" w:cs="Arial" w:eastAsia="Arial" w:hAnsi="Arial"/>
          <w:sz w:val="16"/>
          <w:szCs w:val="16"/>
          <w:color w:val="auto"/>
        </w:rPr>
        <w:t>In August 2025, upon the recommendation of FW Cook, the Board approved a new peer group that includes the 16 companies listed below for benchmarking the Company’s executive and non-employee director pay levels and practices. The specific companies were selected using objective size criteria, in a range that we believe is appropriate for benchmarking executive compensation. Other guiding principles in the peer group selection criteria included identifying companies operating in similar industries and, to the extent possible, with similar cost structures, business models and global reach. FW Cook also identified potential peers who the Company competes with for executive talent. Though the peer group was developed prior to the Separation, it was developed in contemplation of the Separation and the majority of peers remain size-appropriate and relevant following the Separation. The following table sets forth the peer group companies approved by the Board:</w:t>
      </w:r>
    </w:p>
    <w:p>
      <w:pPr>
        <w:spacing w:after="0" w:line="166" w:lineRule="exact"/>
        <w:rPr>
          <w:sz w:val="20"/>
          <w:szCs w:val="20"/>
          <w:color w:val="auto"/>
        </w:rPr>
      </w:pPr>
    </w:p>
    <w:tbl>
      <w:tblPr>
        <w:tblLayout w:type="fixed"/>
        <w:tblInd w:w="1200" w:type="dxa"/>
        <w:tblCellMar>
          <w:top w:w="0" w:type="dxa"/>
          <w:left w:w="0" w:type="dxa"/>
          <w:bottom w:w="0" w:type="dxa"/>
          <w:right w:w="0" w:type="dxa"/>
        </w:tblCellMar>
      </w:tblPr>
      <w:tr>
        <w:trPr>
          <w:trHeight w:val="31"/>
        </w:trPr>
        <w:tc>
          <w:tcPr>
            <w:tcW w:w="3000" w:type="dxa"/>
            <w:vAlign w:val="bottom"/>
            <w:vMerge w:val="restart"/>
          </w:tcPr>
          <w:p>
            <w:pPr>
              <w:ind w:left="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ACADIA Pharmaceuticals</w:t>
            </w:r>
          </w:p>
        </w:tc>
        <w:tc>
          <w:tcPr>
            <w:tcW w:w="1160" w:type="dxa"/>
            <w:vAlign w:val="bottom"/>
            <w:vMerge w:val="restart"/>
          </w:tcPr>
          <w:p>
            <w:pPr>
              <w:ind w:left="10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
                <w:szCs w:val="2"/>
                <w:color w:val="auto"/>
              </w:rPr>
            </w:pPr>
          </w:p>
        </w:tc>
        <w:tc>
          <w:tcPr>
            <w:tcW w:w="2900" w:type="dxa"/>
            <w:vAlign w:val="bottom"/>
            <w:vMerge w:val="restart"/>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Jazz Pharmaceuticals</w:t>
            </w:r>
          </w:p>
        </w:tc>
        <w:tc>
          <w:tcPr>
            <w:tcW w:w="1240" w:type="dxa"/>
            <w:vAlign w:val="bottom"/>
            <w:vMerge w:val="restart"/>
          </w:tcPr>
          <w:p>
            <w:pPr>
              <w:ind w:left="1120"/>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337"/>
        </w:trPr>
        <w:tc>
          <w:tcPr>
            <w:tcW w:w="30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120"/>
              <w:spacing w:after="0"/>
              <w:rPr>
                <w:sz w:val="20"/>
                <w:szCs w:val="20"/>
                <w:color w:val="auto"/>
              </w:rPr>
            </w:pPr>
            <w:r>
              <w:rPr>
                <w:rFonts w:ascii="Arial" w:cs="Arial" w:eastAsia="Arial" w:hAnsi="Arial"/>
                <w:sz w:val="16"/>
                <w:szCs w:val="16"/>
                <w:color w:val="auto"/>
              </w:rPr>
              <w:t>Alkermes</w:t>
            </w:r>
          </w:p>
        </w:tc>
        <w:tc>
          <w:tcPr>
            <w:tcW w:w="1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Moderna</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120"/>
              <w:spacing w:after="0"/>
              <w:rPr>
                <w:sz w:val="20"/>
                <w:szCs w:val="20"/>
                <w:color w:val="auto"/>
              </w:rPr>
            </w:pPr>
            <w:r>
              <w:rPr>
                <w:rFonts w:ascii="Arial" w:cs="Arial" w:eastAsia="Arial" w:hAnsi="Arial"/>
                <w:sz w:val="16"/>
                <w:szCs w:val="16"/>
                <w:color w:val="auto"/>
              </w:rPr>
              <w:t>Amneal Pharmaceuticals</w:t>
            </w:r>
          </w:p>
        </w:tc>
        <w:tc>
          <w:tcPr>
            <w:tcW w:w="1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Neurocrine Biosciences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0" w:type="dxa"/>
            <w:vAlign w:val="bottom"/>
          </w:tcPr>
          <w:p>
            <w:pPr>
              <w:ind w:left="120"/>
              <w:spacing w:after="0"/>
              <w:rPr>
                <w:sz w:val="20"/>
                <w:szCs w:val="20"/>
                <w:color w:val="auto"/>
              </w:rPr>
            </w:pPr>
            <w:r>
              <w:rPr>
                <w:rFonts w:ascii="Arial" w:cs="Arial" w:eastAsia="Arial" w:hAnsi="Arial"/>
                <w:sz w:val="16"/>
                <w:szCs w:val="16"/>
                <w:color w:val="auto"/>
              </w:rPr>
              <w:t>BioMarin Pharmaceutical</w:t>
            </w:r>
          </w:p>
        </w:tc>
        <w:tc>
          <w:tcPr>
            <w:tcW w:w="1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Organon &amp; Co.</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00" w:type="dxa"/>
            <w:vAlign w:val="bottom"/>
          </w:tcPr>
          <w:p>
            <w:pPr>
              <w:ind w:left="120"/>
              <w:spacing w:after="0"/>
              <w:rPr>
                <w:sz w:val="20"/>
                <w:szCs w:val="20"/>
                <w:color w:val="auto"/>
              </w:rPr>
            </w:pPr>
            <w:r>
              <w:rPr>
                <w:rFonts w:ascii="Arial" w:cs="Arial" w:eastAsia="Arial" w:hAnsi="Arial"/>
                <w:sz w:val="16"/>
                <w:szCs w:val="16"/>
                <w:color w:val="auto"/>
              </w:rPr>
              <w:t>Elanco Animal Health</w:t>
            </w:r>
          </w:p>
        </w:tc>
        <w:tc>
          <w:tcPr>
            <w:tcW w:w="1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Perrigo Co.</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120"/>
              <w:spacing w:after="0"/>
              <w:rPr>
                <w:sz w:val="20"/>
                <w:szCs w:val="20"/>
                <w:color w:val="auto"/>
              </w:rPr>
            </w:pPr>
            <w:r>
              <w:rPr>
                <w:rFonts w:ascii="Arial" w:cs="Arial" w:eastAsia="Arial" w:hAnsi="Arial"/>
                <w:sz w:val="16"/>
                <w:szCs w:val="16"/>
                <w:color w:val="auto"/>
              </w:rPr>
              <w:t>Exelixis</w:t>
            </w:r>
          </w:p>
        </w:tc>
        <w:tc>
          <w:tcPr>
            <w:tcW w:w="1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PTC Therapeutics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00" w:type="dxa"/>
            <w:vAlign w:val="bottom"/>
          </w:tcPr>
          <w:p>
            <w:pPr>
              <w:ind w:left="120"/>
              <w:spacing w:after="0"/>
              <w:rPr>
                <w:sz w:val="20"/>
                <w:szCs w:val="20"/>
                <w:color w:val="auto"/>
              </w:rPr>
            </w:pPr>
            <w:r>
              <w:rPr>
                <w:rFonts w:ascii="Arial" w:cs="Arial" w:eastAsia="Arial" w:hAnsi="Arial"/>
                <w:sz w:val="16"/>
                <w:szCs w:val="16"/>
                <w:color w:val="auto"/>
              </w:rPr>
              <w:t>Halozyme Therapeutics</w:t>
            </w:r>
          </w:p>
        </w:tc>
        <w:tc>
          <w:tcPr>
            <w:tcW w:w="1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Sarepta Therapeutics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0" w:type="dxa"/>
            <w:vAlign w:val="bottom"/>
          </w:tcPr>
          <w:p>
            <w:pPr>
              <w:ind w:left="120"/>
              <w:spacing w:after="0"/>
              <w:rPr>
                <w:sz w:val="20"/>
                <w:szCs w:val="20"/>
                <w:color w:val="auto"/>
              </w:rPr>
            </w:pPr>
            <w:r>
              <w:rPr>
                <w:rFonts w:ascii="Arial" w:cs="Arial" w:eastAsia="Arial" w:hAnsi="Arial"/>
                <w:sz w:val="16"/>
                <w:szCs w:val="16"/>
                <w:color w:val="auto"/>
              </w:rPr>
              <w:t>Incyte</w:t>
            </w:r>
          </w:p>
        </w:tc>
        <w:tc>
          <w:tcPr>
            <w:tcW w:w="1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United Therapeutics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Adoption of Realigned Compensation Philosophy</w:t>
      </w:r>
    </w:p>
    <w:p>
      <w:pPr>
        <w:spacing w:after="0" w:line="122" w:lineRule="exact"/>
        <w:rPr>
          <w:sz w:val="20"/>
          <w:szCs w:val="20"/>
          <w:color w:val="auto"/>
        </w:rPr>
      </w:pPr>
    </w:p>
    <w:p>
      <w:pPr>
        <w:ind w:left="680" w:right="100"/>
        <w:spacing w:after="0" w:line="277" w:lineRule="auto"/>
        <w:rPr>
          <w:sz w:val="20"/>
          <w:szCs w:val="20"/>
          <w:color w:val="auto"/>
        </w:rPr>
      </w:pPr>
      <w:r>
        <w:rPr>
          <w:rFonts w:ascii="Arial" w:cs="Arial" w:eastAsia="Arial" w:hAnsi="Arial"/>
          <w:sz w:val="15"/>
          <w:szCs w:val="15"/>
          <w:color w:val="auto"/>
        </w:rPr>
        <w:t>After the Separation in November 2025, our HRCC realigned the Company’s executive compensation philosophy, which emphasizes the importance of attracting, motivating and encouraging continuity of experienced and well-qualified executive officers through policies, programs and strategies that advance the objectives of our Company, align the interests of our executive officers with those of our shareholders and other stakeholders and embrace the values, behaviors and Code of Conduct of Keenova. The key principles of this philosophy are further described below. We believe our compensation decisions in 2025 were consistent with this approach.</w:t>
      </w:r>
    </w:p>
    <w:p>
      <w:pPr>
        <w:spacing w:after="0" w:line="17" w:lineRule="exact"/>
        <w:rPr>
          <w:sz w:val="20"/>
          <w:szCs w:val="20"/>
          <w:color w:val="auto"/>
        </w:rPr>
      </w:pPr>
    </w:p>
    <w:p>
      <w:pPr>
        <w:ind w:left="860" w:right="240" w:hanging="188"/>
        <w:spacing w:after="0" w:line="304"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Compensation should strongly align the interests of executive officers and other employees with those of patients, shareholders, and other stakeholders;</w:t>
      </w:r>
    </w:p>
    <w:p>
      <w:pPr>
        <w:spacing w:after="0" w:line="6" w:lineRule="exact"/>
        <w:rPr>
          <w:rFonts w:ascii="Arial" w:cs="Arial" w:eastAsia="Arial" w:hAnsi="Arial"/>
          <w:sz w:val="16"/>
          <w:szCs w:val="16"/>
          <w:color w:val="auto"/>
        </w:rPr>
      </w:pPr>
    </w:p>
    <w:p>
      <w:pPr>
        <w:ind w:left="860" w:right="120" w:hanging="188"/>
        <w:spacing w:after="0" w:line="299"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Compensation should appropriately balance salary, short-term incentives, and long-term incentives, with an appropriate emphasis on performance-based pay;</w:t>
      </w:r>
    </w:p>
    <w:p>
      <w:pPr>
        <w:ind w:left="860" w:right="220" w:hanging="188"/>
        <w:spacing w:after="0" w:line="304"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Target and actual earned compensation should reflect a balanced mix of individual performance (to reward key contributors) and Company performance (to foster collaboration and align pay with investor returns);</w:t>
      </w:r>
    </w:p>
    <w:p>
      <w:pPr>
        <w:spacing w:after="0" w:line="6" w:lineRule="exact"/>
        <w:rPr>
          <w:rFonts w:ascii="Arial" w:cs="Arial" w:eastAsia="Arial" w:hAnsi="Arial"/>
          <w:sz w:val="16"/>
          <w:szCs w:val="16"/>
          <w:color w:val="auto"/>
        </w:rPr>
      </w:pPr>
    </w:p>
    <w:p>
      <w:pPr>
        <w:ind w:left="860" w:hanging="188"/>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Compensation goals should encourage stretch performance, while being achievable;</w:t>
      </w:r>
    </w:p>
    <w:p>
      <w:pPr>
        <w:spacing w:after="0" w:line="86" w:lineRule="exact"/>
        <w:rPr>
          <w:rFonts w:ascii="Arial" w:cs="Arial" w:eastAsia="Arial" w:hAnsi="Arial"/>
          <w:sz w:val="16"/>
          <w:szCs w:val="16"/>
          <w:color w:val="auto"/>
        </w:rPr>
      </w:pPr>
    </w:p>
    <w:p>
      <w:pPr>
        <w:ind w:left="860" w:hanging="188"/>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Compensation should be structured and managed to avoid undue risk-taking;</w:t>
      </w:r>
    </w:p>
    <w:p>
      <w:pPr>
        <w:spacing w:after="0" w:line="86" w:lineRule="exact"/>
        <w:rPr>
          <w:rFonts w:ascii="Arial" w:cs="Arial" w:eastAsia="Arial" w:hAnsi="Arial"/>
          <w:sz w:val="16"/>
          <w:szCs w:val="16"/>
          <w:color w:val="auto"/>
        </w:rPr>
      </w:pPr>
    </w:p>
    <w:p>
      <w:pPr>
        <w:ind w:left="860" w:right="80" w:hanging="188"/>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Compensation should align management with the long-term financial interests of shareholders, including through the use of share-based compensation;</w:t>
      </w:r>
    </w:p>
    <w:p>
      <w:pPr>
        <w:sectPr>
          <w:pgSz w:w="11900" w:h="16838" w:orient="portrait"/>
          <w:cols w:equalWidth="0" w:num="1">
            <w:col w:w="10100"/>
          </w:cols>
          <w:pgMar w:left="580" w:top="97" w:right="1219" w:bottom="1440" w:gutter="0" w:footer="0" w:header="0"/>
        </w:sectPr>
      </w:pPr>
    </w:p>
    <w:p>
      <w:pPr>
        <w:spacing w:after="0" w:line="305" w:lineRule="exact"/>
        <w:rPr>
          <w:sz w:val="20"/>
          <w:szCs w:val="20"/>
          <w:color w:val="auto"/>
        </w:rPr>
      </w:pPr>
    </w:p>
    <w:p>
      <w:pPr>
        <w:ind w:left="680"/>
        <w:spacing w:after="0"/>
        <w:tabs>
          <w:tab w:leader="none" w:pos="5260" w:val="left"/>
          <w:tab w:leader="none" w:pos="10040" w:val="left"/>
        </w:tabs>
        <w:rPr>
          <w:sz w:val="20"/>
          <w:szCs w:val="20"/>
          <w:color w:val="auto"/>
        </w:rPr>
      </w:pPr>
      <w:r>
        <w:rPr>
          <w:rFonts w:ascii="Arial" w:cs="Arial" w:eastAsia="Arial" w:hAnsi="Arial"/>
          <w:sz w:val="13"/>
          <w:szCs w:val="13"/>
          <w:color w:val="323232"/>
        </w:rPr>
        <w:t>​30 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-43180</wp:posOffset>
            </wp:positionV>
            <wp:extent cx="44577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7700"/>
        <w:spacing w:after="0"/>
        <w:rPr>
          <w:sz w:val="20"/>
          <w:szCs w:val="20"/>
          <w:color w:val="auto"/>
        </w:rPr>
      </w:pPr>
      <w:r>
        <w:rPr>
          <w:rFonts w:ascii="Arial" w:cs="Arial" w:eastAsia="Arial" w:hAnsi="Arial"/>
          <w:sz w:val="13"/>
          <w:szCs w:val="13"/>
          <w:color w:val="323232"/>
        </w:rPr>
        <w:t>Compensation Discussion and Analysis</w:t>
      </w:r>
    </w:p>
    <w:p>
      <w:pPr>
        <w:spacing w:after="0" w:line="200" w:lineRule="exact"/>
        <w:rPr>
          <w:sz w:val="20"/>
          <w:szCs w:val="20"/>
          <w:color w:val="auto"/>
        </w:rPr>
      </w:pPr>
    </w:p>
    <w:p>
      <w:pPr>
        <w:spacing w:after="0" w:line="216" w:lineRule="exact"/>
        <w:rPr>
          <w:sz w:val="20"/>
          <w:szCs w:val="20"/>
          <w:color w:val="auto"/>
        </w:rPr>
      </w:pPr>
    </w:p>
    <w:p>
      <w:pPr>
        <w:ind w:left="860" w:right="260" w:hanging="188"/>
        <w:spacing w:after="0" w:line="28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Compensation should be competitive, but not excessive, to attract, motivate and retain talented individuals who can achieve our strategic goals and create value;</w:t>
      </w:r>
    </w:p>
    <w:p>
      <w:pPr>
        <w:spacing w:after="0" w:line="20" w:lineRule="exact"/>
        <w:rPr>
          <w:rFonts w:ascii="Arial" w:cs="Arial" w:eastAsia="Arial" w:hAnsi="Arial"/>
          <w:sz w:val="16"/>
          <w:szCs w:val="16"/>
          <w:color w:val="auto"/>
        </w:rPr>
      </w:pPr>
    </w:p>
    <w:p>
      <w:pPr>
        <w:ind w:left="860" w:hanging="188"/>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Compensation goals and practices should be transparent and easy to communicate, both internally and externally; and</w:t>
      </w:r>
    </w:p>
    <w:p>
      <w:pPr>
        <w:spacing w:after="0" w:line="86" w:lineRule="exact"/>
        <w:rPr>
          <w:rFonts w:ascii="Arial" w:cs="Arial" w:eastAsia="Arial" w:hAnsi="Arial"/>
          <w:sz w:val="16"/>
          <w:szCs w:val="16"/>
          <w:color w:val="auto"/>
        </w:rPr>
      </w:pPr>
    </w:p>
    <w:p>
      <w:pPr>
        <w:ind w:left="860" w:hanging="188"/>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Compensation policies and practices should support effective governance.</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Compensation Governance, Risk Mitigation and Shareholder Matters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Prohibition on Hedging and Pledging</w:t>
      </w:r>
    </w:p>
    <w:p>
      <w:pPr>
        <w:spacing w:after="0" w:line="122" w:lineRule="exact"/>
        <w:rPr>
          <w:sz w:val="20"/>
          <w:szCs w:val="20"/>
          <w:color w:val="auto"/>
        </w:rPr>
      </w:pPr>
    </w:p>
    <w:p>
      <w:pPr>
        <w:ind w:left="680" w:right="200"/>
        <w:spacing w:after="0" w:line="275" w:lineRule="auto"/>
        <w:rPr>
          <w:sz w:val="20"/>
          <w:szCs w:val="20"/>
          <w:color w:val="auto"/>
        </w:rPr>
      </w:pPr>
      <w:r>
        <w:rPr>
          <w:rFonts w:ascii="Arial" w:cs="Arial" w:eastAsia="Arial" w:hAnsi="Arial"/>
          <w:sz w:val="16"/>
          <w:szCs w:val="16"/>
          <w:color w:val="auto"/>
        </w:rPr>
        <w:t>Our Insider Trading Policy prohibits directors, officers and employees from entering into or trading in puts, calls, cashless collars, options or similar rights and obligations or any other hedging activity involving our securities, other than the exercise of a Company-issued stock option.</w:t>
      </w:r>
    </w:p>
    <w:p>
      <w:pPr>
        <w:spacing w:after="0" w:line="137" w:lineRule="exact"/>
        <w:rPr>
          <w:sz w:val="20"/>
          <w:szCs w:val="20"/>
          <w:color w:val="auto"/>
        </w:rPr>
      </w:pPr>
    </w:p>
    <w:p>
      <w:pPr>
        <w:jc w:val="both"/>
        <w:ind w:left="680" w:right="40"/>
        <w:spacing w:after="0" w:line="301" w:lineRule="auto"/>
        <w:rPr>
          <w:sz w:val="20"/>
          <w:szCs w:val="20"/>
          <w:color w:val="auto"/>
        </w:rPr>
      </w:pPr>
      <w:r>
        <w:rPr>
          <w:rFonts w:ascii="Arial" w:cs="Arial" w:eastAsia="Arial" w:hAnsi="Arial"/>
          <w:sz w:val="15"/>
          <w:szCs w:val="15"/>
          <w:color w:val="auto"/>
        </w:rPr>
        <w:t>Our policy also prohibits directors, officers and employees from purchasing our securities on margin, borrowing against our securities held in a margin account, or pledging our securities as collateral for a loan. However, an exception may be granted by our Chief Legal Officer if the individual clearly demonstrates the financial capacity to repay the loan without resort to the pledged securities.</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Executive Financial Recoupment Program (“Clawback”)</w:t>
      </w:r>
    </w:p>
    <w:p>
      <w:pPr>
        <w:spacing w:after="0" w:line="122" w:lineRule="exact"/>
        <w:rPr>
          <w:sz w:val="20"/>
          <w:szCs w:val="20"/>
          <w:color w:val="auto"/>
        </w:rPr>
      </w:pPr>
    </w:p>
    <w:p>
      <w:pPr>
        <w:ind w:left="680" w:right="80"/>
        <w:spacing w:after="0" w:line="262" w:lineRule="auto"/>
        <w:rPr>
          <w:sz w:val="20"/>
          <w:szCs w:val="20"/>
          <w:color w:val="auto"/>
        </w:rPr>
      </w:pPr>
      <w:r>
        <w:rPr>
          <w:rFonts w:ascii="Arial" w:cs="Arial" w:eastAsia="Arial" w:hAnsi="Arial"/>
          <w:sz w:val="16"/>
          <w:szCs w:val="16"/>
          <w:color w:val="auto"/>
        </w:rPr>
        <w:t>Since the Company’s separation from Covidien plc in 2013, the Corporate Governance Guidelines have mandated that the Company have a Board-approved policy for recoupment of incentive compensation. This policy was originally implemented by the Board in 2014 and was most recently amended in 2022 in connection with the Company’s corporate integrity agreement entered into with the Office of Inspector General of the U.S. Department of Health and Human Services. Keenova’s policy states that in the event of an accounting restatement resulting from material non-compliance with financial reporting requirements under applicable law, the Board or, if so designated by the Board, the HRCC, is authorized to recover any incentive compensation that was overpaid taking into account such factors as the Board or the HRCC deems appropriate. In addition, Keenova’s policy states that in the event of certain events of significant misconduct, including a violation of law or regulation or a significant violation of a Company policy, to the extent permitted by law, the Company must seek to recoup cash awards and all or a portion of the cash awards or the realized value of equity awards for the three-year period prior to the recoupment determination.</w:t>
      </w:r>
    </w:p>
    <w:p>
      <w:pPr>
        <w:spacing w:after="0" w:line="151" w:lineRule="exact"/>
        <w:rPr>
          <w:sz w:val="20"/>
          <w:szCs w:val="20"/>
          <w:color w:val="auto"/>
        </w:rPr>
      </w:pPr>
    </w:p>
    <w:p>
      <w:pPr>
        <w:ind w:left="680" w:right="80"/>
        <w:spacing w:after="0" w:line="262" w:lineRule="auto"/>
        <w:rPr>
          <w:sz w:val="20"/>
          <w:szCs w:val="20"/>
          <w:color w:val="auto"/>
        </w:rPr>
      </w:pPr>
      <w:r>
        <w:rPr>
          <w:rFonts w:ascii="Arial" w:cs="Arial" w:eastAsia="Arial" w:hAnsi="Arial"/>
          <w:sz w:val="16"/>
          <w:szCs w:val="16"/>
          <w:color w:val="auto"/>
        </w:rPr>
        <w:t>Under Keenova’s policy, the Company agreed to disclose annually whether, at any time during the last completed fiscal year, the Board required recoupment or forfeiture of any incentive compensation received by certain employees, including NEOs, (i) if required by law, and (ii) if not required by law, so long as the disclosure (a) would not violate any individual’s privacy rights, (b) is not likely to result in or exacerbate any existing or threatened employee, shareholder or other litigation, arbitration, investigation or proceeding against the Company and (c) is not otherwise prohibited. Subject to the exceptions described in the previous sentence, if any such recoupment or forfeiture under the policy occurred, we are required to disclose the general circumstances of the recoupment and/or forfeiture, and if no such recoupment or forfeiture occurred during the last completed fiscal year, we are required to disclose that no such event occurred.</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 2025, there was no recoupment or forfeiture applied to the incentive compensation of any executive officer of the Company.</w:t>
      </w:r>
    </w:p>
    <w:p>
      <w:pPr>
        <w:spacing w:after="0" w:line="2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2025 Say-on-Pay Vote</w:t>
      </w:r>
    </w:p>
    <w:p>
      <w:pPr>
        <w:spacing w:after="0" w:line="122" w:lineRule="exact"/>
        <w:rPr>
          <w:sz w:val="20"/>
          <w:szCs w:val="20"/>
          <w:color w:val="auto"/>
        </w:rPr>
      </w:pPr>
    </w:p>
    <w:p>
      <w:pPr>
        <w:ind w:left="680" w:right="220"/>
        <w:spacing w:after="0" w:line="271" w:lineRule="auto"/>
        <w:rPr>
          <w:sz w:val="20"/>
          <w:szCs w:val="20"/>
          <w:color w:val="auto"/>
        </w:rPr>
      </w:pPr>
      <w:r>
        <w:rPr>
          <w:rFonts w:ascii="Arial" w:cs="Arial" w:eastAsia="Arial" w:hAnsi="Arial"/>
          <w:sz w:val="16"/>
          <w:szCs w:val="16"/>
          <w:color w:val="auto"/>
        </w:rPr>
        <w:t>We consider the views of our shareholders in designing our executive compensation program and value feedback on our compensation practices. At our 2025 Annual General Meeting of Shareholders, approximately 99% of the votes cast on our annual advisory vote on the compensation of our NEOs were in favor of this proposal. We believe that the level of support received for this proposal affirms our approach to executive compensation.</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Compensation Committee Interlocks and Insider Participation</w:t>
      </w:r>
    </w:p>
    <w:p>
      <w:pPr>
        <w:spacing w:after="0" w:line="122" w:lineRule="exact"/>
        <w:rPr>
          <w:sz w:val="20"/>
          <w:szCs w:val="20"/>
          <w:color w:val="auto"/>
        </w:rPr>
      </w:pPr>
    </w:p>
    <w:p>
      <w:pPr>
        <w:ind w:left="680" w:right="180"/>
        <w:spacing w:after="0" w:line="271" w:lineRule="auto"/>
        <w:rPr>
          <w:sz w:val="20"/>
          <w:szCs w:val="20"/>
          <w:color w:val="auto"/>
        </w:rPr>
      </w:pPr>
      <w:r>
        <w:rPr>
          <w:rFonts w:ascii="Arial" w:cs="Arial" w:eastAsia="Arial" w:hAnsi="Arial"/>
          <w:sz w:val="16"/>
          <w:szCs w:val="16"/>
          <w:color w:val="auto"/>
        </w:rPr>
        <w:t>During fiscal 2025, the directors who served on the HRCC were Abbas Hussain (Chair), Katina Dorton, and Jon Zinman for the pre-merger portion of the year, and Katina Dorton (Chair), Leslie Donato, and Marc Yoskowitz for the post-merger portion of the year. During fiscal 2025, there were no members of the HRCC who were officers or employees of the Company or any of its subsidiaries, were formerly officers of the Company, or had any relationship otherwise requiring disclosure hereunder.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31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Human Resources and Compensation Committee Report on Executive Compensation</w:t>
      </w:r>
    </w:p>
    <w:p>
      <w:pPr>
        <w:spacing w:after="0" w:line="378" w:lineRule="exact"/>
        <w:rPr>
          <w:sz w:val="20"/>
          <w:szCs w:val="20"/>
          <w:color w:val="auto"/>
        </w:rPr>
      </w:pPr>
    </w:p>
    <w:p>
      <w:pPr>
        <w:ind w:left="680" w:right="220"/>
        <w:spacing w:after="0" w:line="263" w:lineRule="auto"/>
        <w:rPr>
          <w:sz w:val="20"/>
          <w:szCs w:val="20"/>
          <w:color w:val="auto"/>
        </w:rPr>
      </w:pPr>
      <w:r>
        <w:rPr>
          <w:rFonts w:ascii="Arial" w:cs="Arial" w:eastAsia="Arial" w:hAnsi="Arial"/>
          <w:sz w:val="41"/>
          <w:szCs w:val="41"/>
          <w:b w:val="1"/>
          <w:bCs w:val="1"/>
          <w:color w:val="4CA87C"/>
        </w:rPr>
        <w:t>Human Resources and Compensation Committee Report on Executive Compensation</w:t>
      </w:r>
    </w:p>
    <w:p>
      <w:pPr>
        <w:spacing w:after="0" w:line="4" w:lineRule="exact"/>
        <w:rPr>
          <w:sz w:val="20"/>
          <w:szCs w:val="20"/>
          <w:color w:val="auto"/>
        </w:rPr>
      </w:pPr>
    </w:p>
    <w:p>
      <w:pPr>
        <w:ind w:left="680" w:right="40"/>
        <w:spacing w:after="0" w:line="284" w:lineRule="auto"/>
        <w:rPr>
          <w:sz w:val="20"/>
          <w:szCs w:val="20"/>
          <w:color w:val="auto"/>
        </w:rPr>
      </w:pPr>
      <w:r>
        <w:rPr>
          <w:rFonts w:ascii="Arial" w:cs="Arial" w:eastAsia="Arial" w:hAnsi="Arial"/>
          <w:sz w:val="16"/>
          <w:szCs w:val="16"/>
          <w:color w:val="auto"/>
        </w:rPr>
        <w:t>The HRCC is responsible for the oversight of our compensation programs on behalf of the Board of Directors. In fulfilling these responsibilities, the HRCC has reviewed and discussed with management the Compensation Discussion and Analysis set forth in this Proxy Statement.</w:t>
      </w:r>
    </w:p>
    <w:p>
      <w:pPr>
        <w:spacing w:after="0" w:line="130" w:lineRule="exact"/>
        <w:rPr>
          <w:sz w:val="20"/>
          <w:szCs w:val="20"/>
          <w:color w:val="auto"/>
        </w:rPr>
      </w:pPr>
    </w:p>
    <w:p>
      <w:pPr>
        <w:ind w:left="680" w:right="80"/>
        <w:spacing w:after="0" w:line="271" w:lineRule="auto"/>
        <w:rPr>
          <w:sz w:val="20"/>
          <w:szCs w:val="20"/>
          <w:color w:val="auto"/>
        </w:rPr>
      </w:pPr>
      <w:r>
        <w:rPr>
          <w:rFonts w:ascii="Arial" w:cs="Arial" w:eastAsia="Arial" w:hAnsi="Arial"/>
          <w:sz w:val="16"/>
          <w:szCs w:val="16"/>
          <w:color w:val="auto"/>
        </w:rPr>
        <w:t>Based on the review and discussions referred to above, the HRCC recommended to the Board of Directors that the Compensation Discussion and Analysis be included in Keenova’s Proxy Statement for the 2026 Annual General Meeting of Shareholders, which will be filed with the SEC and in the Company’s Annual Report on Form 10-K for the fiscal year ended December 31, 2025 (including through incorporation by reference to this Proxy Statement).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Human Resources and Compensation Committee</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Katina Dorton, Chair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Marc Yoskowitz</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Leslie Donato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​32 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Executive Compensation</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Summary Compensation Table</w:t>
      </w:r>
    </w:p>
    <w:p>
      <w:pPr>
        <w:spacing w:after="0" w:line="126"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The information presented in the Summary Compensation Table reflects compensation for our NEOs for fiscal 2025, 2024 and 2023.</w:t>
      </w:r>
    </w:p>
    <w:p>
      <w:pPr>
        <w:spacing w:after="0" w:line="21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00514B"/>
        </w:rPr>
        <w:t>Summary Compensation Table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900" w:type="dxa"/>
            <w:vAlign w:val="bottom"/>
            <w:shd w:val="clear" w:color="auto" w:fill="B2EEDE"/>
          </w:tcPr>
          <w:p>
            <w:pPr>
              <w:spacing w:after="0"/>
              <w:rPr>
                <w:sz w:val="20"/>
                <w:szCs w:val="20"/>
                <w:color w:val="auto"/>
              </w:rPr>
            </w:pPr>
          </w:p>
        </w:tc>
        <w:tc>
          <w:tcPr>
            <w:tcW w:w="120" w:type="dxa"/>
            <w:vAlign w:val="bottom"/>
            <w:shd w:val="clear" w:color="auto" w:fill="B2EEDE"/>
          </w:tcPr>
          <w:p>
            <w:pPr>
              <w:spacing w:after="0"/>
              <w:rPr>
                <w:sz w:val="20"/>
                <w:szCs w:val="20"/>
                <w:color w:val="auto"/>
              </w:rPr>
            </w:pPr>
          </w:p>
        </w:tc>
        <w:tc>
          <w:tcPr>
            <w:tcW w:w="140" w:type="dxa"/>
            <w:vAlign w:val="bottom"/>
            <w:shd w:val="clear" w:color="auto" w:fill="B2EEDE"/>
          </w:tcPr>
          <w:p>
            <w:pPr>
              <w:spacing w:after="0"/>
              <w:rPr>
                <w:sz w:val="20"/>
                <w:szCs w:val="20"/>
                <w:color w:val="auto"/>
              </w:rPr>
            </w:pPr>
          </w:p>
        </w:tc>
        <w:tc>
          <w:tcPr>
            <w:tcW w:w="60" w:type="dxa"/>
            <w:vAlign w:val="bottom"/>
            <w:shd w:val="clear" w:color="auto" w:fill="B2EEDE"/>
          </w:tcPr>
          <w:p>
            <w:pPr>
              <w:spacing w:after="0"/>
              <w:rPr>
                <w:sz w:val="20"/>
                <w:szCs w:val="20"/>
                <w:color w:val="auto"/>
              </w:rPr>
            </w:pPr>
          </w:p>
        </w:tc>
        <w:tc>
          <w:tcPr>
            <w:tcW w:w="580" w:type="dxa"/>
            <w:vAlign w:val="bottom"/>
            <w:shd w:val="clear" w:color="auto" w:fill="B2EEDE"/>
          </w:tcPr>
          <w:p>
            <w:pPr>
              <w:spacing w:after="0"/>
              <w:rPr>
                <w:sz w:val="20"/>
                <w:szCs w:val="20"/>
                <w:color w:val="auto"/>
              </w:rPr>
            </w:pPr>
          </w:p>
        </w:tc>
        <w:tc>
          <w:tcPr>
            <w:tcW w:w="200" w:type="dxa"/>
            <w:vAlign w:val="bottom"/>
            <w:shd w:val="clear" w:color="auto" w:fill="B2EEDE"/>
          </w:tcPr>
          <w:p>
            <w:pPr>
              <w:spacing w:after="0"/>
              <w:rPr>
                <w:sz w:val="20"/>
                <w:szCs w:val="20"/>
                <w:color w:val="auto"/>
              </w:rPr>
            </w:pPr>
          </w:p>
        </w:tc>
        <w:tc>
          <w:tcPr>
            <w:tcW w:w="560" w:type="dxa"/>
            <w:vAlign w:val="bottom"/>
            <w:shd w:val="clear" w:color="auto" w:fill="B2EEDE"/>
          </w:tcPr>
          <w:p>
            <w:pPr>
              <w:spacing w:after="0"/>
              <w:rPr>
                <w:sz w:val="20"/>
                <w:szCs w:val="20"/>
                <w:color w:val="auto"/>
              </w:rPr>
            </w:pPr>
          </w:p>
        </w:tc>
        <w:tc>
          <w:tcPr>
            <w:tcW w:w="200" w:type="dxa"/>
            <w:vAlign w:val="bottom"/>
            <w:shd w:val="clear" w:color="auto" w:fill="B2EEDE"/>
          </w:tcPr>
          <w:p>
            <w:pPr>
              <w:spacing w:after="0"/>
              <w:rPr>
                <w:sz w:val="20"/>
                <w:szCs w:val="20"/>
                <w:color w:val="auto"/>
              </w:rPr>
            </w:pPr>
          </w:p>
        </w:tc>
        <w:tc>
          <w:tcPr>
            <w:tcW w:w="200" w:type="dxa"/>
            <w:vAlign w:val="bottom"/>
            <w:shd w:val="clear" w:color="auto" w:fill="B2EEDE"/>
          </w:tcPr>
          <w:p>
            <w:pPr>
              <w:spacing w:after="0"/>
              <w:rPr>
                <w:sz w:val="20"/>
                <w:szCs w:val="20"/>
                <w:color w:val="auto"/>
              </w:rPr>
            </w:pPr>
          </w:p>
        </w:tc>
        <w:tc>
          <w:tcPr>
            <w:tcW w:w="420" w:type="dxa"/>
            <w:vAlign w:val="bottom"/>
            <w:shd w:val="clear" w:color="auto" w:fill="B2EEDE"/>
          </w:tcPr>
          <w:p>
            <w:pPr>
              <w:spacing w:after="0"/>
              <w:rPr>
                <w:sz w:val="20"/>
                <w:szCs w:val="20"/>
                <w:color w:val="auto"/>
              </w:rPr>
            </w:pPr>
          </w:p>
        </w:tc>
        <w:tc>
          <w:tcPr>
            <w:tcW w:w="340" w:type="dxa"/>
            <w:vAlign w:val="bottom"/>
            <w:shd w:val="clear" w:color="auto" w:fill="B2EEDE"/>
          </w:tcPr>
          <w:p>
            <w:pPr>
              <w:spacing w:after="0"/>
              <w:rPr>
                <w:sz w:val="20"/>
                <w:szCs w:val="20"/>
                <w:color w:val="auto"/>
              </w:rPr>
            </w:pPr>
          </w:p>
        </w:tc>
        <w:tc>
          <w:tcPr>
            <w:tcW w:w="200" w:type="dxa"/>
            <w:vAlign w:val="bottom"/>
            <w:shd w:val="clear" w:color="auto" w:fill="B2EEDE"/>
          </w:tcPr>
          <w:p>
            <w:pPr>
              <w:spacing w:after="0"/>
              <w:rPr>
                <w:sz w:val="20"/>
                <w:szCs w:val="20"/>
                <w:color w:val="auto"/>
              </w:rPr>
            </w:pPr>
          </w:p>
        </w:tc>
        <w:tc>
          <w:tcPr>
            <w:tcW w:w="500" w:type="dxa"/>
            <w:vAlign w:val="bottom"/>
            <w:shd w:val="clear" w:color="auto" w:fill="B2EEDE"/>
          </w:tcPr>
          <w:p>
            <w:pPr>
              <w:spacing w:after="0"/>
              <w:rPr>
                <w:sz w:val="20"/>
                <w:szCs w:val="20"/>
                <w:color w:val="auto"/>
              </w:rPr>
            </w:pPr>
          </w:p>
        </w:tc>
        <w:tc>
          <w:tcPr>
            <w:tcW w:w="340" w:type="dxa"/>
            <w:vAlign w:val="bottom"/>
            <w:shd w:val="clear" w:color="auto" w:fill="B2EEDE"/>
          </w:tcPr>
          <w:p>
            <w:pPr>
              <w:spacing w:after="0"/>
              <w:rPr>
                <w:sz w:val="20"/>
                <w:szCs w:val="20"/>
                <w:color w:val="auto"/>
              </w:rPr>
            </w:pPr>
          </w:p>
        </w:tc>
        <w:tc>
          <w:tcPr>
            <w:tcW w:w="100" w:type="dxa"/>
            <w:vAlign w:val="bottom"/>
            <w:shd w:val="clear" w:color="auto" w:fill="B2EEDE"/>
          </w:tcPr>
          <w:p>
            <w:pPr>
              <w:spacing w:after="0"/>
              <w:rPr>
                <w:sz w:val="20"/>
                <w:szCs w:val="20"/>
                <w:color w:val="auto"/>
              </w:rPr>
            </w:pPr>
          </w:p>
        </w:tc>
        <w:tc>
          <w:tcPr>
            <w:tcW w:w="10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Non-Equity</w:t>
            </w:r>
          </w:p>
        </w:tc>
        <w:tc>
          <w:tcPr>
            <w:tcW w:w="200" w:type="dxa"/>
            <w:vAlign w:val="bottom"/>
            <w:shd w:val="clear" w:color="auto" w:fill="B2EEDE"/>
          </w:tcPr>
          <w:p>
            <w:pPr>
              <w:spacing w:after="0"/>
              <w:rPr>
                <w:sz w:val="20"/>
                <w:szCs w:val="20"/>
                <w:color w:val="auto"/>
              </w:rPr>
            </w:pPr>
          </w:p>
        </w:tc>
        <w:tc>
          <w:tcPr>
            <w:tcW w:w="100" w:type="dxa"/>
            <w:vAlign w:val="bottom"/>
            <w:shd w:val="clear" w:color="auto" w:fill="B2EEDE"/>
          </w:tcPr>
          <w:p>
            <w:pPr>
              <w:spacing w:after="0"/>
              <w:rPr>
                <w:sz w:val="20"/>
                <w:szCs w:val="20"/>
                <w:color w:val="auto"/>
              </w:rPr>
            </w:pPr>
          </w:p>
        </w:tc>
        <w:tc>
          <w:tcPr>
            <w:tcW w:w="300" w:type="dxa"/>
            <w:vAlign w:val="bottom"/>
            <w:shd w:val="clear" w:color="auto" w:fill="B2EEDE"/>
          </w:tcPr>
          <w:p>
            <w:pPr>
              <w:spacing w:after="0"/>
              <w:rPr>
                <w:sz w:val="20"/>
                <w:szCs w:val="20"/>
                <w:color w:val="auto"/>
              </w:rPr>
            </w:pPr>
          </w:p>
        </w:tc>
        <w:tc>
          <w:tcPr>
            <w:tcW w:w="740" w:type="dxa"/>
            <w:vAlign w:val="bottom"/>
            <w:shd w:val="clear" w:color="auto" w:fill="B2EEDE"/>
          </w:tcPr>
          <w:p>
            <w:pPr>
              <w:spacing w:after="0"/>
              <w:rPr>
                <w:sz w:val="20"/>
                <w:szCs w:val="20"/>
                <w:color w:val="auto"/>
              </w:rPr>
            </w:pPr>
          </w:p>
        </w:tc>
        <w:tc>
          <w:tcPr>
            <w:tcW w:w="180" w:type="dxa"/>
            <w:vAlign w:val="bottom"/>
            <w:shd w:val="clear" w:color="auto" w:fill="B2EEDE"/>
          </w:tcPr>
          <w:p>
            <w:pPr>
              <w:spacing w:after="0"/>
              <w:rPr>
                <w:sz w:val="20"/>
                <w:szCs w:val="20"/>
                <w:color w:val="auto"/>
              </w:rPr>
            </w:pPr>
          </w:p>
        </w:tc>
        <w:tc>
          <w:tcPr>
            <w:tcW w:w="220" w:type="dxa"/>
            <w:vAlign w:val="bottom"/>
            <w:shd w:val="clear" w:color="auto" w:fill="B2EEDE"/>
          </w:tcPr>
          <w:p>
            <w:pPr>
              <w:spacing w:after="0"/>
              <w:rPr>
                <w:sz w:val="20"/>
                <w:szCs w:val="20"/>
                <w:color w:val="auto"/>
              </w:rPr>
            </w:pPr>
          </w:p>
        </w:tc>
        <w:tc>
          <w:tcPr>
            <w:tcW w:w="580" w:type="dxa"/>
            <w:vAlign w:val="bottom"/>
            <w:shd w:val="clear" w:color="auto" w:fill="B2EEDE"/>
          </w:tcPr>
          <w:p>
            <w:pPr>
              <w:spacing w:after="0"/>
              <w:rPr>
                <w:sz w:val="20"/>
                <w:szCs w:val="20"/>
                <w:color w:val="auto"/>
              </w:rPr>
            </w:pPr>
          </w:p>
        </w:tc>
        <w:tc>
          <w:tcPr>
            <w:tcW w:w="180" w:type="dxa"/>
            <w:vAlign w:val="bottom"/>
            <w:shd w:val="clear" w:color="auto" w:fill="B2EED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B2EEDE"/>
          </w:tcPr>
          <w:p>
            <w:pPr>
              <w:spacing w:after="0"/>
              <w:rPr>
                <w:sz w:val="15"/>
                <w:szCs w:val="15"/>
                <w:color w:val="auto"/>
              </w:rPr>
            </w:pPr>
          </w:p>
        </w:tc>
        <w:tc>
          <w:tcPr>
            <w:tcW w:w="120" w:type="dxa"/>
            <w:vAlign w:val="bottom"/>
            <w:shd w:val="clear" w:color="auto" w:fill="B2EEDE"/>
          </w:tcPr>
          <w:p>
            <w:pPr>
              <w:spacing w:after="0"/>
              <w:rPr>
                <w:sz w:val="15"/>
                <w:szCs w:val="15"/>
                <w:color w:val="auto"/>
              </w:rPr>
            </w:pPr>
          </w:p>
        </w:tc>
        <w:tc>
          <w:tcPr>
            <w:tcW w:w="140" w:type="dxa"/>
            <w:vAlign w:val="bottom"/>
            <w:shd w:val="clear" w:color="auto" w:fill="B2EEDE"/>
          </w:tcPr>
          <w:p>
            <w:pPr>
              <w:spacing w:after="0"/>
              <w:rPr>
                <w:sz w:val="15"/>
                <w:szCs w:val="15"/>
                <w:color w:val="auto"/>
              </w:rPr>
            </w:pPr>
          </w:p>
        </w:tc>
        <w:tc>
          <w:tcPr>
            <w:tcW w:w="60" w:type="dxa"/>
            <w:vAlign w:val="bottom"/>
            <w:shd w:val="clear" w:color="auto" w:fill="B2EEDE"/>
          </w:tcPr>
          <w:p>
            <w:pPr>
              <w:spacing w:after="0"/>
              <w:rPr>
                <w:sz w:val="15"/>
                <w:szCs w:val="15"/>
                <w:color w:val="auto"/>
              </w:rPr>
            </w:pPr>
          </w:p>
        </w:tc>
        <w:tc>
          <w:tcPr>
            <w:tcW w:w="58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56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420" w:type="dxa"/>
            <w:vAlign w:val="bottom"/>
            <w:shd w:val="clear" w:color="auto" w:fill="B2EEDE"/>
          </w:tcPr>
          <w:p>
            <w:pPr>
              <w:spacing w:after="0"/>
              <w:rPr>
                <w:sz w:val="15"/>
                <w:szCs w:val="15"/>
                <w:color w:val="auto"/>
              </w:rPr>
            </w:pPr>
          </w:p>
        </w:tc>
        <w:tc>
          <w:tcPr>
            <w:tcW w:w="34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500" w:type="dxa"/>
            <w:vAlign w:val="bottom"/>
            <w:shd w:val="clear" w:color="auto" w:fill="B2EEDE"/>
          </w:tcPr>
          <w:p>
            <w:pPr>
              <w:jc w:val="right"/>
              <w:spacing w:after="0"/>
              <w:rPr>
                <w:sz w:val="20"/>
                <w:szCs w:val="20"/>
                <w:color w:val="auto"/>
              </w:rPr>
            </w:pPr>
            <w:r>
              <w:rPr>
                <w:rFonts w:ascii="Arial" w:cs="Arial" w:eastAsia="Arial" w:hAnsi="Arial"/>
                <w:sz w:val="14"/>
                <w:szCs w:val="14"/>
                <w:b w:val="1"/>
                <w:bCs w:val="1"/>
                <w:color w:val="auto"/>
              </w:rPr>
              <w:t>Stock</w:t>
            </w:r>
          </w:p>
        </w:tc>
        <w:tc>
          <w:tcPr>
            <w:tcW w:w="34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c>
          <w:tcPr>
            <w:tcW w:w="10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Incentive Plan</w:t>
            </w:r>
          </w:p>
        </w:tc>
        <w:tc>
          <w:tcPr>
            <w:tcW w:w="20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c>
          <w:tcPr>
            <w:tcW w:w="1040" w:type="dxa"/>
            <w:vAlign w:val="bottom"/>
            <w:gridSpan w:val="2"/>
            <w:shd w:val="clear" w:color="auto" w:fill="B2EEDE"/>
          </w:tcPr>
          <w:p>
            <w:pPr>
              <w:ind w:left="220"/>
              <w:spacing w:after="0"/>
              <w:rPr>
                <w:sz w:val="20"/>
                <w:szCs w:val="20"/>
                <w:color w:val="auto"/>
              </w:rPr>
            </w:pPr>
            <w:r>
              <w:rPr>
                <w:rFonts w:ascii="Arial" w:cs="Arial" w:eastAsia="Arial" w:hAnsi="Arial"/>
                <w:sz w:val="14"/>
                <w:szCs w:val="14"/>
                <w:b w:val="1"/>
                <w:bCs w:val="1"/>
                <w:color w:val="auto"/>
              </w:rPr>
              <w:t>All Other</w:t>
            </w:r>
          </w:p>
        </w:tc>
        <w:tc>
          <w:tcPr>
            <w:tcW w:w="180" w:type="dxa"/>
            <w:vAlign w:val="bottom"/>
            <w:shd w:val="clear" w:color="auto" w:fill="B2EEDE"/>
          </w:tcPr>
          <w:p>
            <w:pPr>
              <w:spacing w:after="0"/>
              <w:rPr>
                <w:sz w:val="15"/>
                <w:szCs w:val="15"/>
                <w:color w:val="auto"/>
              </w:rPr>
            </w:pPr>
          </w:p>
        </w:tc>
        <w:tc>
          <w:tcPr>
            <w:tcW w:w="220" w:type="dxa"/>
            <w:vAlign w:val="bottom"/>
            <w:shd w:val="clear" w:color="auto" w:fill="B2EEDE"/>
          </w:tcPr>
          <w:p>
            <w:pPr>
              <w:spacing w:after="0"/>
              <w:rPr>
                <w:sz w:val="15"/>
                <w:szCs w:val="15"/>
                <w:color w:val="auto"/>
              </w:rPr>
            </w:pPr>
          </w:p>
        </w:tc>
        <w:tc>
          <w:tcPr>
            <w:tcW w:w="580" w:type="dxa"/>
            <w:vAlign w:val="bottom"/>
            <w:shd w:val="clear" w:color="auto" w:fill="B2EEDE"/>
          </w:tcPr>
          <w:p>
            <w:pPr>
              <w:spacing w:after="0"/>
              <w:rPr>
                <w:sz w:val="15"/>
                <w:szCs w:val="15"/>
                <w:color w:val="auto"/>
              </w:rPr>
            </w:pPr>
          </w:p>
        </w:tc>
        <w:tc>
          <w:tcPr>
            <w:tcW w:w="18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00" w:type="dxa"/>
            <w:vAlign w:val="bottom"/>
            <w:shd w:val="clear" w:color="auto" w:fill="B2EEDE"/>
          </w:tcPr>
          <w:p>
            <w:pPr>
              <w:ind w:left="120"/>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shd w:val="clear" w:color="auto" w:fill="B2EEDE"/>
          </w:tcPr>
          <w:p>
            <w:pPr>
              <w:spacing w:after="0"/>
              <w:rPr>
                <w:sz w:val="15"/>
                <w:szCs w:val="15"/>
                <w:color w:val="auto"/>
              </w:rPr>
            </w:pPr>
          </w:p>
        </w:tc>
        <w:tc>
          <w:tcPr>
            <w:tcW w:w="140" w:type="dxa"/>
            <w:vAlign w:val="bottom"/>
            <w:shd w:val="clear" w:color="auto" w:fill="B2EEDE"/>
          </w:tcPr>
          <w:p>
            <w:pPr>
              <w:spacing w:after="0"/>
              <w:rPr>
                <w:sz w:val="15"/>
                <w:szCs w:val="15"/>
                <w:color w:val="auto"/>
              </w:rPr>
            </w:pPr>
          </w:p>
        </w:tc>
        <w:tc>
          <w:tcPr>
            <w:tcW w:w="640" w:type="dxa"/>
            <w:vAlign w:val="bottom"/>
            <w:gridSpan w:val="2"/>
            <w:shd w:val="clear" w:color="auto" w:fill="B2EEDE"/>
          </w:tcPr>
          <w:p>
            <w:pPr>
              <w:jc w:val="right"/>
              <w:ind w:right="150"/>
              <w:spacing w:after="0"/>
              <w:rPr>
                <w:sz w:val="20"/>
                <w:szCs w:val="20"/>
                <w:color w:val="auto"/>
              </w:rPr>
            </w:pPr>
            <w:r>
              <w:rPr>
                <w:rFonts w:ascii="Arial" w:cs="Arial" w:eastAsia="Arial" w:hAnsi="Arial"/>
                <w:sz w:val="14"/>
                <w:szCs w:val="14"/>
                <w:b w:val="1"/>
                <w:bCs w:val="1"/>
                <w:color w:val="auto"/>
              </w:rPr>
              <w:t>Fiscal</w:t>
            </w:r>
          </w:p>
        </w:tc>
        <w:tc>
          <w:tcPr>
            <w:tcW w:w="200" w:type="dxa"/>
            <w:vAlign w:val="bottom"/>
            <w:shd w:val="clear" w:color="auto" w:fill="B2EEDE"/>
          </w:tcPr>
          <w:p>
            <w:pPr>
              <w:spacing w:after="0"/>
              <w:rPr>
                <w:sz w:val="15"/>
                <w:szCs w:val="15"/>
                <w:color w:val="auto"/>
              </w:rPr>
            </w:pPr>
          </w:p>
        </w:tc>
        <w:tc>
          <w:tcPr>
            <w:tcW w:w="560" w:type="dxa"/>
            <w:vAlign w:val="bottom"/>
            <w:shd w:val="clear" w:color="auto" w:fill="B2EEDE"/>
          </w:tcPr>
          <w:p>
            <w:pPr>
              <w:jc w:val="right"/>
              <w:ind w:right="30"/>
              <w:spacing w:after="0"/>
              <w:rPr>
                <w:sz w:val="20"/>
                <w:szCs w:val="20"/>
                <w:color w:val="auto"/>
              </w:rPr>
            </w:pPr>
            <w:r>
              <w:rPr>
                <w:rFonts w:ascii="Arial" w:cs="Arial" w:eastAsia="Arial" w:hAnsi="Arial"/>
                <w:sz w:val="14"/>
                <w:szCs w:val="14"/>
                <w:b w:val="1"/>
                <w:bCs w:val="1"/>
                <w:color w:val="auto"/>
              </w:rPr>
              <w:t>Salary</w:t>
            </w:r>
          </w:p>
        </w:tc>
        <w:tc>
          <w:tcPr>
            <w:tcW w:w="20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760" w:type="dxa"/>
            <w:vAlign w:val="bottom"/>
            <w:gridSpan w:val="2"/>
            <w:shd w:val="clear" w:color="auto" w:fill="B2EEDE"/>
          </w:tcPr>
          <w:p>
            <w:pPr>
              <w:jc w:val="right"/>
              <w:ind w:right="230"/>
              <w:spacing w:after="0"/>
              <w:rPr>
                <w:sz w:val="20"/>
                <w:szCs w:val="20"/>
                <w:color w:val="auto"/>
              </w:rPr>
            </w:pPr>
            <w:r>
              <w:rPr>
                <w:rFonts w:ascii="Arial" w:cs="Arial" w:eastAsia="Arial" w:hAnsi="Arial"/>
                <w:sz w:val="14"/>
                <w:szCs w:val="14"/>
                <w:b w:val="1"/>
                <w:bCs w:val="1"/>
                <w:color w:val="auto"/>
              </w:rPr>
              <w:t>Bonus</w:t>
            </w:r>
          </w:p>
        </w:tc>
        <w:tc>
          <w:tcPr>
            <w:tcW w:w="200" w:type="dxa"/>
            <w:vAlign w:val="bottom"/>
            <w:shd w:val="clear" w:color="auto" w:fill="B2EEDE"/>
          </w:tcPr>
          <w:p>
            <w:pPr>
              <w:spacing w:after="0"/>
              <w:rPr>
                <w:sz w:val="15"/>
                <w:szCs w:val="15"/>
                <w:color w:val="auto"/>
              </w:rPr>
            </w:pPr>
          </w:p>
        </w:tc>
        <w:tc>
          <w:tcPr>
            <w:tcW w:w="840" w:type="dxa"/>
            <w:vAlign w:val="bottom"/>
            <w:gridSpan w:val="2"/>
            <w:shd w:val="clear" w:color="auto" w:fill="B2EEDE"/>
          </w:tcPr>
          <w:p>
            <w:pPr>
              <w:jc w:val="right"/>
              <w:ind w:right="231"/>
              <w:spacing w:after="0"/>
              <w:rPr>
                <w:sz w:val="20"/>
                <w:szCs w:val="20"/>
                <w:color w:val="auto"/>
              </w:rPr>
            </w:pPr>
            <w:r>
              <w:rPr>
                <w:rFonts w:ascii="Arial" w:cs="Arial" w:eastAsia="Arial" w:hAnsi="Arial"/>
                <w:sz w:val="14"/>
                <w:szCs w:val="14"/>
                <w:b w:val="1"/>
                <w:bCs w:val="1"/>
                <w:color w:val="auto"/>
              </w:rPr>
              <w:t>Awards</w:t>
            </w:r>
          </w:p>
        </w:tc>
        <w:tc>
          <w:tcPr>
            <w:tcW w:w="100" w:type="dxa"/>
            <w:vAlign w:val="bottom"/>
            <w:shd w:val="clear" w:color="auto" w:fill="B2EEDE"/>
          </w:tcPr>
          <w:p>
            <w:pPr>
              <w:spacing w:after="0"/>
              <w:rPr>
                <w:sz w:val="15"/>
                <w:szCs w:val="15"/>
                <w:color w:val="auto"/>
              </w:rPr>
            </w:pPr>
          </w:p>
        </w:tc>
        <w:tc>
          <w:tcPr>
            <w:tcW w:w="10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c>
          <w:tcPr>
            <w:tcW w:w="1040" w:type="dxa"/>
            <w:vAlign w:val="bottom"/>
            <w:gridSpan w:val="2"/>
            <w:shd w:val="clear" w:color="auto" w:fill="B2EEDE"/>
          </w:tcPr>
          <w:p>
            <w:pPr>
              <w:jc w:val="right"/>
              <w:spacing w:after="0"/>
              <w:rPr>
                <w:sz w:val="20"/>
                <w:szCs w:val="20"/>
                <w:color w:val="auto"/>
              </w:rPr>
            </w:pPr>
            <w:r>
              <w:rPr>
                <w:rFonts w:ascii="Arial" w:cs="Arial" w:eastAsia="Arial" w:hAnsi="Arial"/>
                <w:sz w:val="14"/>
                <w:szCs w:val="14"/>
                <w:b w:val="1"/>
                <w:bCs w:val="1"/>
                <w:color w:val="auto"/>
              </w:rPr>
              <w:t>Compensation</w:t>
            </w:r>
          </w:p>
        </w:tc>
        <w:tc>
          <w:tcPr>
            <w:tcW w:w="180" w:type="dxa"/>
            <w:vAlign w:val="bottom"/>
            <w:shd w:val="clear" w:color="auto" w:fill="B2EEDE"/>
          </w:tcPr>
          <w:p>
            <w:pPr>
              <w:spacing w:after="0"/>
              <w:rPr>
                <w:sz w:val="15"/>
                <w:szCs w:val="15"/>
                <w:color w:val="auto"/>
              </w:rPr>
            </w:pPr>
          </w:p>
        </w:tc>
        <w:tc>
          <w:tcPr>
            <w:tcW w:w="220" w:type="dxa"/>
            <w:vAlign w:val="bottom"/>
            <w:shd w:val="clear" w:color="auto" w:fill="B2EEDE"/>
          </w:tcPr>
          <w:p>
            <w:pPr>
              <w:spacing w:after="0"/>
              <w:rPr>
                <w:sz w:val="15"/>
                <w:szCs w:val="15"/>
                <w:color w:val="auto"/>
              </w:rPr>
            </w:pPr>
          </w:p>
        </w:tc>
        <w:tc>
          <w:tcPr>
            <w:tcW w:w="580" w:type="dxa"/>
            <w:vAlign w:val="bottom"/>
            <w:shd w:val="clear" w:color="auto" w:fill="B2EEDE"/>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90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Position</w:t>
            </w:r>
          </w:p>
        </w:tc>
        <w:tc>
          <w:tcPr>
            <w:tcW w:w="12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B2EEDE"/>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B2EEDE"/>
          </w:tcPr>
          <w:p>
            <w:pPr>
              <w:spacing w:after="0"/>
              <w:rPr>
                <w:sz w:val="19"/>
                <w:szCs w:val="19"/>
                <w:color w:val="auto"/>
              </w:rPr>
            </w:pPr>
          </w:p>
        </w:tc>
        <w:tc>
          <w:tcPr>
            <w:tcW w:w="580" w:type="dxa"/>
            <w:vAlign w:val="bottom"/>
            <w:tcBorders>
              <w:bottom w:val="single" w:sz="8" w:color="auto"/>
            </w:tcBorders>
            <w:shd w:val="clear" w:color="auto" w:fill="B2EEDE"/>
          </w:tcPr>
          <w:p>
            <w:pPr>
              <w:jc w:val="right"/>
              <w:spacing w:after="0" w:line="225" w:lineRule="exact"/>
              <w:rPr>
                <w:sz w:val="20"/>
                <w:szCs w:val="20"/>
                <w:color w:val="auto"/>
              </w:rPr>
            </w:pPr>
            <w:r>
              <w:rPr>
                <w:rFonts w:ascii="Arial" w:cs="Arial" w:eastAsia="Arial" w:hAnsi="Arial"/>
                <w:sz w:val="14"/>
                <w:szCs w:val="14"/>
                <w:b w:val="1"/>
                <w:bCs w:val="1"/>
                <w:color w:val="auto"/>
              </w:rPr>
              <w:t xml:space="preserve">Year  </w:t>
            </w:r>
            <w:r>
              <w:rPr>
                <w:rFonts w:ascii="Arial" w:cs="Arial" w:eastAsia="Arial" w:hAnsi="Arial"/>
                <w:sz w:val="26"/>
                <w:szCs w:val="26"/>
                <w:b w:val="1"/>
                <w:bCs w:val="1"/>
                <w:color w:val="auto"/>
                <w:vertAlign w:val="subscript"/>
              </w:rPr>
              <w:t>​</w:t>
            </w:r>
          </w:p>
        </w:tc>
        <w:tc>
          <w:tcPr>
            <w:tcW w:w="20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B2EEDE"/>
          </w:tcPr>
          <w:p>
            <w:pPr>
              <w:jc w:val="right"/>
              <w:ind w:right="15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3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B2EEDE"/>
          </w:tcPr>
          <w:p>
            <w:pPr>
              <w:jc w:val="right"/>
              <w:ind w:right="28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2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B2EEDE"/>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B2EEDE"/>
          </w:tcPr>
          <w:p>
            <w:pPr>
              <w:spacing w:after="0"/>
              <w:rPr>
                <w:sz w:val="19"/>
                <w:szCs w:val="19"/>
                <w:color w:val="auto"/>
              </w:rPr>
            </w:pPr>
          </w:p>
        </w:tc>
        <w:tc>
          <w:tcPr>
            <w:tcW w:w="740" w:type="dxa"/>
            <w:vAlign w:val="bottom"/>
            <w:tcBorders>
              <w:bottom w:val="single" w:sz="8" w:color="auto"/>
            </w:tcBorders>
            <w:shd w:val="clear" w:color="auto" w:fill="B2EEDE"/>
          </w:tcPr>
          <w:p>
            <w:pPr>
              <w:jc w:val="right"/>
              <w:ind w:right="2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(4)</w:t>
            </w:r>
          </w:p>
        </w:tc>
        <w:tc>
          <w:tcPr>
            <w:tcW w:w="18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B2EEDE"/>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4"/>
        </w:trPr>
        <w:tc>
          <w:tcPr>
            <w:tcW w:w="1900" w:type="dxa"/>
            <w:vAlign w:val="bottom"/>
          </w:tcPr>
          <w:p>
            <w:pPr>
              <w:ind w:left="60"/>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b w:val="1"/>
                <w:bCs w:val="1"/>
                <w:color w:val="auto"/>
              </w:rPr>
              <w:t>Sigurdur O. Olafsson</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580" w:type="dxa"/>
            <w:vAlign w:val="bottom"/>
          </w:tcPr>
          <w:p>
            <w:pPr>
              <w:jc w:val="right"/>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​2025 </w:t>
            </w:r>
            <w:r>
              <w:rPr>
                <w:rFonts w:ascii="Arial" w:cs="Arial" w:eastAsia="Arial" w:hAnsi="Arial"/>
                <w:sz w:val="28"/>
                <w:szCs w:val="28"/>
                <w:color w:val="auto"/>
                <w:vertAlign w:val="superscript"/>
              </w:rPr>
              <w:t>​ ​</w:t>
            </w:r>
          </w:p>
        </w:tc>
        <w:tc>
          <w:tcPr>
            <w:tcW w:w="960" w:type="dxa"/>
            <w:vAlign w:val="bottom"/>
            <w:gridSpan w:val="3"/>
          </w:tcPr>
          <w:p>
            <w:pPr>
              <w:jc w:val="right"/>
              <w:spacing w:after="0" w:line="25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​1,176,923</w:t>
            </w:r>
            <w:r>
              <w:rPr>
                <w:rFonts w:ascii="Arial" w:cs="Arial" w:eastAsia="Arial" w:hAnsi="Arial"/>
                <w:sz w:val="28"/>
                <w:szCs w:val="28"/>
                <w:color w:val="auto"/>
                <w:vertAlign w:val="superscript"/>
              </w:rPr>
              <w:t>​ ​</w:t>
            </w:r>
          </w:p>
        </w:tc>
        <w:tc>
          <w:tcPr>
            <w:tcW w:w="200" w:type="dxa"/>
            <w:vAlign w:val="bottom"/>
          </w:tcPr>
          <w:p>
            <w:pPr>
              <w:ind w:left="60"/>
              <w:spacing w:after="0" w:line="254"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420" w:type="dxa"/>
            <w:vAlign w:val="bottom"/>
          </w:tcPr>
          <w:p>
            <w:pPr>
              <w:spacing w:after="0"/>
              <w:rPr>
                <w:sz w:val="22"/>
                <w:szCs w:val="22"/>
                <w:color w:val="auto"/>
              </w:rPr>
            </w:pPr>
          </w:p>
        </w:tc>
        <w:tc>
          <w:tcPr>
            <w:tcW w:w="340" w:type="dxa"/>
            <w:vAlign w:val="bottom"/>
          </w:tcPr>
          <w:p>
            <w:pPr>
              <w:jc w:val="right"/>
              <w:spacing w:after="0" w:line="25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40" w:type="dxa"/>
            <w:vAlign w:val="bottom"/>
            <w:gridSpan w:val="3"/>
          </w:tcPr>
          <w:p>
            <w:pPr>
              <w:jc w:val="right"/>
              <w:spacing w:after="0" w:line="25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5,999,962</w:t>
            </w:r>
            <w:r>
              <w:rPr>
                <w:rFonts w:ascii="Arial" w:cs="Arial" w:eastAsia="Arial" w:hAnsi="Arial"/>
                <w:sz w:val="28"/>
                <w:szCs w:val="28"/>
                <w:color w:val="auto"/>
                <w:vertAlign w:val="superscript"/>
              </w:rPr>
              <w:t>​ ​</w:t>
            </w: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​37,832,847</w:t>
            </w:r>
          </w:p>
        </w:tc>
        <w:tc>
          <w:tcPr>
            <w:tcW w:w="20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8"/>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​2,341,876</w:t>
            </w: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tcPr>
          <w:p>
            <w:pPr>
              <w:jc w:val="right"/>
              <w:spacing w:after="0" w:line="25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​47,351,608</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63"/>
        </w:trPr>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President and Chief</w:t>
            </w:r>
          </w:p>
        </w:tc>
        <w:tc>
          <w:tcPr>
            <w:tcW w:w="120" w:type="dxa"/>
            <w:vAlign w:val="bottom"/>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42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7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580" w:type="dxa"/>
            <w:vAlign w:val="bottom"/>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​2024 </w:t>
            </w:r>
            <w:r>
              <w:rPr>
                <w:rFonts w:ascii="Arial" w:cs="Arial" w:eastAsia="Arial" w:hAnsi="Arial"/>
                <w:sz w:val="28"/>
                <w:szCs w:val="28"/>
                <w:color w:val="auto"/>
                <w:vertAlign w:val="superscript"/>
              </w:rPr>
              <w:t>​ ​</w:t>
            </w:r>
          </w:p>
        </w:tc>
        <w:tc>
          <w:tcPr>
            <w:tcW w:w="96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​1,100,000</w:t>
            </w:r>
            <w:r>
              <w:rPr>
                <w:rFonts w:ascii="Arial" w:cs="Arial" w:eastAsia="Arial" w:hAnsi="Arial"/>
                <w:sz w:val="28"/>
                <w:szCs w:val="28"/>
                <w:color w:val="auto"/>
                <w:vertAlign w:val="superscript"/>
              </w:rPr>
              <w:t>​ ​</w:t>
            </w:r>
          </w:p>
        </w:tc>
        <w:tc>
          <w:tcPr>
            <w:tcW w:w="96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​6,712,720</w:t>
            </w:r>
            <w:r>
              <w:rPr>
                <w:rFonts w:ascii="Arial" w:cs="Arial" w:eastAsia="Arial" w:hAnsi="Arial"/>
                <w:sz w:val="28"/>
                <w:szCs w:val="28"/>
                <w:color w:val="auto"/>
                <w:vertAlign w:val="superscript"/>
              </w:rPr>
              <w:t>​ ​</w:t>
            </w:r>
          </w:p>
        </w:tc>
        <w:tc>
          <w:tcPr>
            <w:tcW w:w="104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​11,864,619</w:t>
            </w:r>
            <w:r>
              <w:rPr>
                <w:rFonts w:ascii="Arial" w:cs="Arial" w:eastAsia="Arial" w:hAnsi="Arial"/>
                <w:sz w:val="28"/>
                <w:szCs w:val="28"/>
                <w:color w:val="auto"/>
                <w:vertAlign w:val="superscript"/>
              </w:rPr>
              <w:t>​ ​</w:t>
            </w:r>
          </w:p>
        </w:tc>
        <w:tc>
          <w:tcPr>
            <w:tcW w:w="1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7,066,923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20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506,930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​27,251,192</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58"/>
        </w:trPr>
        <w:tc>
          <w:tcPr>
            <w:tcW w:w="1900" w:type="dxa"/>
            <w:vAlign w:val="bottom"/>
          </w:tcPr>
          <w:p>
            <w:pPr>
              <w:ind w:left="120"/>
              <w:spacing w:after="0" w:line="158" w:lineRule="exact"/>
              <w:rPr>
                <w:sz w:val="20"/>
                <w:szCs w:val="20"/>
                <w:color w:val="auto"/>
              </w:rPr>
            </w:pPr>
            <w:r>
              <w:rPr>
                <w:rFonts w:ascii="Arial" w:cs="Arial" w:eastAsia="Arial" w:hAnsi="Arial"/>
                <w:sz w:val="14"/>
                <w:szCs w:val="14"/>
                <w:color w:val="auto"/>
              </w:rPr>
              <w:t>Executive Officer</w:t>
            </w:r>
          </w:p>
        </w:tc>
        <w:tc>
          <w:tcPr>
            <w:tcW w:w="120" w:type="dxa"/>
            <w:vAlign w:val="bottom"/>
          </w:tcPr>
          <w:p>
            <w:pPr>
              <w:spacing w:after="0"/>
              <w:rPr>
                <w:sz w:val="13"/>
                <w:szCs w:val="13"/>
                <w:color w:val="auto"/>
              </w:rPr>
            </w:pPr>
          </w:p>
        </w:tc>
        <w:tc>
          <w:tcPr>
            <w:tcW w:w="140" w:type="dxa"/>
            <w:vAlign w:val="bottom"/>
            <w:tcBorders>
              <w:bottom w:val="single" w:sz="8" w:color="7F7F7F"/>
            </w:tcBorders>
            <w:vMerge w:val="continue"/>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580" w:type="dxa"/>
            <w:vAlign w:val="bottom"/>
            <w:tcBorders>
              <w:bottom w:val="single" w:sz="8" w:color="7F7F7F"/>
            </w:tcBorders>
            <w:vMerge w:val="continue"/>
          </w:tcPr>
          <w:p>
            <w:pPr>
              <w:spacing w:after="0"/>
              <w:rPr>
                <w:sz w:val="13"/>
                <w:szCs w:val="13"/>
                <w:color w:val="auto"/>
              </w:rPr>
            </w:pPr>
          </w:p>
        </w:tc>
        <w:tc>
          <w:tcPr>
            <w:tcW w:w="960" w:type="dxa"/>
            <w:vAlign w:val="bottom"/>
            <w:tcBorders>
              <w:bottom w:val="single" w:sz="8" w:color="7F7F7F"/>
            </w:tcBorders>
            <w:gridSpan w:val="3"/>
            <w:vMerge w:val="continue"/>
          </w:tcPr>
          <w:p>
            <w:pPr>
              <w:spacing w:after="0"/>
              <w:rPr>
                <w:sz w:val="13"/>
                <w:szCs w:val="13"/>
                <w:color w:val="auto"/>
              </w:rPr>
            </w:pPr>
          </w:p>
        </w:tc>
        <w:tc>
          <w:tcPr>
            <w:tcW w:w="960" w:type="dxa"/>
            <w:vAlign w:val="bottom"/>
            <w:tcBorders>
              <w:bottom w:val="single" w:sz="8" w:color="7F7F7F"/>
            </w:tcBorders>
            <w:gridSpan w:val="3"/>
            <w:vMerge w:val="continue"/>
          </w:tcPr>
          <w:p>
            <w:pPr>
              <w:spacing w:after="0"/>
              <w:rPr>
                <w:sz w:val="13"/>
                <w:szCs w:val="13"/>
                <w:color w:val="auto"/>
              </w:rPr>
            </w:pPr>
          </w:p>
        </w:tc>
        <w:tc>
          <w:tcPr>
            <w:tcW w:w="1040" w:type="dxa"/>
            <w:vAlign w:val="bottom"/>
            <w:tcBorders>
              <w:bottom w:val="single" w:sz="8" w:color="7F7F7F"/>
            </w:tcBorders>
            <w:gridSpan w:val="3"/>
            <w:vMerge w:val="continue"/>
          </w:tcPr>
          <w:p>
            <w:pPr>
              <w:spacing w:after="0"/>
              <w:rPr>
                <w:sz w:val="13"/>
                <w:szCs w:val="13"/>
                <w:color w:val="auto"/>
              </w:rPr>
            </w:pPr>
          </w:p>
        </w:tc>
        <w:tc>
          <w:tcPr>
            <w:tcW w:w="100" w:type="dxa"/>
            <w:vAlign w:val="bottom"/>
            <w:tcBorders>
              <w:bottom w:val="single" w:sz="8" w:color="7F7F7F"/>
            </w:tcBorders>
            <w:vMerge w:val="continue"/>
          </w:tcPr>
          <w:p>
            <w:pPr>
              <w:spacing w:after="0"/>
              <w:rPr>
                <w:sz w:val="13"/>
                <w:szCs w:val="13"/>
                <w:color w:val="auto"/>
              </w:rPr>
            </w:pPr>
          </w:p>
        </w:tc>
        <w:tc>
          <w:tcPr>
            <w:tcW w:w="1040" w:type="dxa"/>
            <w:vAlign w:val="bottom"/>
            <w:tcBorders>
              <w:bottom w:val="single" w:sz="8" w:color="7F7F7F"/>
            </w:tcBorders>
            <w:vMerge w:val="continue"/>
          </w:tcPr>
          <w:p>
            <w:pPr>
              <w:spacing w:after="0"/>
              <w:rPr>
                <w:sz w:val="13"/>
                <w:szCs w:val="13"/>
                <w:color w:val="auto"/>
              </w:rPr>
            </w:pPr>
          </w:p>
        </w:tc>
        <w:tc>
          <w:tcPr>
            <w:tcW w:w="200" w:type="dxa"/>
            <w:vAlign w:val="bottom"/>
            <w:tcBorders>
              <w:bottom w:val="single" w:sz="8" w:color="7F7F7F"/>
            </w:tcBorders>
            <w:vMerge w:val="continue"/>
          </w:tcPr>
          <w:p>
            <w:pPr>
              <w:spacing w:after="0"/>
              <w:rPr>
                <w:sz w:val="13"/>
                <w:szCs w:val="13"/>
                <w:color w:val="auto"/>
              </w:rPr>
            </w:pPr>
          </w:p>
        </w:tc>
        <w:tc>
          <w:tcPr>
            <w:tcW w:w="100" w:type="dxa"/>
            <w:vAlign w:val="bottom"/>
            <w:tcBorders>
              <w:bottom w:val="single" w:sz="8" w:color="7F7F7F"/>
            </w:tcBorders>
            <w:vMerge w:val="continue"/>
          </w:tcPr>
          <w:p>
            <w:pPr>
              <w:spacing w:after="0"/>
              <w:rPr>
                <w:sz w:val="13"/>
                <w:szCs w:val="13"/>
                <w:color w:val="auto"/>
              </w:rPr>
            </w:pPr>
          </w:p>
        </w:tc>
        <w:tc>
          <w:tcPr>
            <w:tcW w:w="300" w:type="dxa"/>
            <w:vAlign w:val="bottom"/>
            <w:tcBorders>
              <w:bottom w:val="single" w:sz="8" w:color="7F7F7F"/>
            </w:tcBorders>
            <w:vMerge w:val="continue"/>
          </w:tcPr>
          <w:p>
            <w:pPr>
              <w:spacing w:after="0"/>
              <w:rPr>
                <w:sz w:val="13"/>
                <w:szCs w:val="13"/>
                <w:color w:val="auto"/>
              </w:rPr>
            </w:pPr>
          </w:p>
        </w:tc>
        <w:tc>
          <w:tcPr>
            <w:tcW w:w="740" w:type="dxa"/>
            <w:vAlign w:val="bottom"/>
            <w:tcBorders>
              <w:bottom w:val="single" w:sz="8" w:color="7F7F7F"/>
            </w:tcBorders>
            <w:vMerge w:val="continue"/>
          </w:tcPr>
          <w:p>
            <w:pPr>
              <w:spacing w:after="0"/>
              <w:rPr>
                <w:sz w:val="13"/>
                <w:szCs w:val="13"/>
                <w:color w:val="auto"/>
              </w:rPr>
            </w:pPr>
          </w:p>
        </w:tc>
        <w:tc>
          <w:tcPr>
            <w:tcW w:w="180" w:type="dxa"/>
            <w:vAlign w:val="bottom"/>
            <w:tcBorders>
              <w:bottom w:val="single" w:sz="8" w:color="7F7F7F"/>
            </w:tcBorders>
            <w:vMerge w:val="continue"/>
          </w:tcPr>
          <w:p>
            <w:pPr>
              <w:spacing w:after="0"/>
              <w:rPr>
                <w:sz w:val="13"/>
                <w:szCs w:val="13"/>
                <w:color w:val="auto"/>
              </w:rPr>
            </w:pPr>
          </w:p>
        </w:tc>
        <w:tc>
          <w:tcPr>
            <w:tcW w:w="980" w:type="dxa"/>
            <w:vAlign w:val="bottom"/>
            <w:tcBorders>
              <w:bottom w:val="single" w:sz="8" w:color="7F7F7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​2023 </w:t>
            </w:r>
            <w:r>
              <w:rPr>
                <w:rFonts w:ascii="Arial" w:cs="Arial" w:eastAsia="Arial" w:hAnsi="Arial"/>
                <w:sz w:val="28"/>
                <w:szCs w:val="28"/>
                <w:color w:val="auto"/>
                <w:vertAlign w:val="superscript"/>
              </w:rPr>
              <w:t>​ ​</w:t>
            </w:r>
          </w:p>
        </w:tc>
        <w:tc>
          <w:tcPr>
            <w:tcW w:w="96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​1,100,000</w:t>
            </w:r>
            <w:r>
              <w:rPr>
                <w:rFonts w:ascii="Arial" w:cs="Arial" w:eastAsia="Arial" w:hAnsi="Arial"/>
                <w:sz w:val="28"/>
                <w:szCs w:val="28"/>
                <w:color w:val="auto"/>
                <w:vertAlign w:val="superscript"/>
              </w:rPr>
              <w:t>​ ​</w:t>
            </w:r>
          </w:p>
        </w:tc>
        <w:tc>
          <w:tcPr>
            <w:tcW w:w="20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4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4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​10,000,012</w:t>
            </w:r>
            <w:r>
              <w:rPr>
                <w:rFonts w:ascii="Arial" w:cs="Arial" w:eastAsia="Arial" w:hAnsi="Arial"/>
                <w:sz w:val="28"/>
                <w:szCs w:val="28"/>
                <w:color w:val="auto"/>
                <w:vertAlign w:val="superscript"/>
              </w:rPr>
              <w:t>​ ​</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2,750,000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0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239,744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​14,089,756</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0"/>
        </w:trPr>
        <w:tc>
          <w:tcPr>
            <w:tcW w:w="1900" w:type="dxa"/>
            <w:vAlign w:val="bottom"/>
            <w:shd w:val="clear" w:color="auto" w:fill="E5E5E5"/>
          </w:tcPr>
          <w:p>
            <w:pPr>
              <w:ind w:left="6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Christiana Stamoulis</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​2025 </w:t>
            </w:r>
            <w:r>
              <w:rPr>
                <w:rFonts w:ascii="Arial" w:cs="Arial" w:eastAsia="Arial" w:hAnsi="Arial"/>
                <w:sz w:val="23"/>
                <w:szCs w:val="23"/>
                <w:color w:val="auto"/>
                <w:vertAlign w:val="superscript"/>
              </w:rPr>
              <w:t>​ ​</w:t>
            </w:r>
          </w:p>
        </w:tc>
        <w:tc>
          <w:tcPr>
            <w:tcW w:w="200" w:type="dxa"/>
            <w:vAlign w:val="bottom"/>
            <w:shd w:val="clear" w:color="auto" w:fill="E5E5E5"/>
          </w:tcPr>
          <w:p>
            <w:pPr>
              <w:ind w:left="60"/>
              <w:spacing w:after="0" w:line="200"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60" w:type="dxa"/>
            <w:vAlign w:val="bottom"/>
            <w:gridSpan w:val="2"/>
            <w:shd w:val="clear" w:color="auto" w:fill="E5E5E5"/>
          </w:tcPr>
          <w:p>
            <w:pPr>
              <w:jc w:val="right"/>
              <w:spacing w:after="0" w:line="200" w:lineRule="exact"/>
              <w:rPr>
                <w:sz w:val="20"/>
                <w:szCs w:val="20"/>
                <w:color w:val="auto"/>
              </w:rPr>
            </w:pPr>
            <w:r>
              <w:rPr>
                <w:rFonts w:ascii="Arial" w:cs="Arial" w:eastAsia="Arial" w:hAnsi="Arial"/>
                <w:sz w:val="13"/>
                <w:szCs w:val="13"/>
                <w:color w:val="auto"/>
              </w:rPr>
              <w:t>235,577</w:t>
            </w:r>
            <w:r>
              <w:rPr>
                <w:rFonts w:ascii="Arial" w:cs="Arial" w:eastAsia="Arial" w:hAnsi="Arial"/>
                <w:sz w:val="23"/>
                <w:szCs w:val="23"/>
                <w:color w:val="auto"/>
                <w:vertAlign w:val="superscript"/>
              </w:rPr>
              <w:t>​ ​</w:t>
            </w:r>
          </w:p>
        </w:tc>
        <w:tc>
          <w:tcPr>
            <w:tcW w:w="200" w:type="dxa"/>
            <w:vAlign w:val="bottom"/>
            <w:shd w:val="clear" w:color="auto" w:fill="E5E5E5"/>
          </w:tcPr>
          <w:p>
            <w:pPr>
              <w:ind w:left="60"/>
              <w:spacing w:after="0" w:line="200"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42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0"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1040" w:type="dxa"/>
            <w:vAlign w:val="bottom"/>
            <w:gridSpan w:val="3"/>
            <w:shd w:val="clear" w:color="auto" w:fill="E5E5E5"/>
          </w:tcPr>
          <w:p>
            <w:pPr>
              <w:jc w:val="right"/>
              <w:spacing w:after="0" w:line="20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8,399,946</w:t>
            </w:r>
            <w:r>
              <w:rPr>
                <w:rFonts w:ascii="Arial" w:cs="Arial" w:eastAsia="Arial" w:hAnsi="Arial"/>
                <w:sz w:val="23"/>
                <w:szCs w:val="23"/>
                <w:color w:val="auto"/>
                <w:vertAlign w:val="superscript"/>
              </w:rPr>
              <w:t>​ ​</w:t>
            </w:r>
          </w:p>
        </w:tc>
        <w:tc>
          <w:tcPr>
            <w:tcW w:w="1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center"/>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1,246,700</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E5E5E5"/>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ind w:left="200"/>
              <w:spacing w:after="0" w:line="200"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22,316</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shd w:val="clear" w:color="auto" w:fill="E5E5E5"/>
          </w:tcPr>
          <w:p>
            <w:pPr>
              <w:jc w:val="right"/>
              <w:spacing w:after="0" w:line="20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9,904,539</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89"/>
        </w:trPr>
        <w:tc>
          <w:tcPr>
            <w:tcW w:w="1900" w:type="dxa"/>
            <w:vAlign w:val="bottom"/>
            <w:shd w:val="clear" w:color="auto" w:fill="E5E5E5"/>
          </w:tcPr>
          <w:p>
            <w:pPr>
              <w:ind w:left="120"/>
              <w:spacing w:after="0"/>
              <w:rPr>
                <w:sz w:val="20"/>
                <w:szCs w:val="20"/>
                <w:color w:val="auto"/>
              </w:rPr>
            </w:pPr>
            <w:r>
              <w:rPr>
                <w:rFonts w:ascii="Arial" w:cs="Arial" w:eastAsia="Arial" w:hAnsi="Arial"/>
                <w:sz w:val="14"/>
                <w:szCs w:val="14"/>
                <w:color w:val="auto"/>
              </w:rPr>
              <w:t>President and Chief</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Financial Officer</w:t>
            </w:r>
          </w:p>
        </w:tc>
        <w:tc>
          <w:tcPr>
            <w:tcW w:w="12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E5E5E5"/>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58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42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50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104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300" w:type="dxa"/>
            <w:vAlign w:val="bottom"/>
            <w:tcBorders>
              <w:bottom w:val="single" w:sz="8" w:color="E5E5E5"/>
            </w:tcBorders>
            <w:shd w:val="clear" w:color="auto" w:fill="E5E5E5"/>
          </w:tcPr>
          <w:p>
            <w:pPr>
              <w:spacing w:after="0"/>
              <w:rPr>
                <w:sz w:val="19"/>
                <w:szCs w:val="19"/>
                <w:color w:val="auto"/>
              </w:rPr>
            </w:pPr>
          </w:p>
        </w:tc>
        <w:tc>
          <w:tcPr>
            <w:tcW w:w="74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E5E5E5"/>
            </w:tcBorders>
            <w:shd w:val="clear" w:color="auto" w:fill="E5E5E5"/>
          </w:tcPr>
          <w:p>
            <w:pPr>
              <w:spacing w:after="0"/>
              <w:rPr>
                <w:sz w:val="19"/>
                <w:szCs w:val="19"/>
                <w:color w:val="auto"/>
              </w:rPr>
            </w:pPr>
          </w:p>
        </w:tc>
        <w:tc>
          <w:tcPr>
            <w:tcW w:w="58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E5E5E5"/>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00" w:type="dxa"/>
            <w:vAlign w:val="bottom"/>
            <w:tcBorders>
              <w:top w:val="single" w:sz="8" w:color="auto"/>
            </w:tcBorders>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b w:val="1"/>
                <w:bCs w:val="1"/>
                <w:color w:val="auto"/>
              </w:rPr>
              <w:t>Henriette Nielsen</w:t>
            </w:r>
          </w:p>
        </w:tc>
        <w:tc>
          <w:tcPr>
            <w:tcW w:w="1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​2025 </w:t>
            </w:r>
            <w:r>
              <w:rPr>
                <w:rFonts w:ascii="Arial" w:cs="Arial" w:eastAsia="Arial" w:hAnsi="Arial"/>
                <w:sz w:val="26"/>
                <w:szCs w:val="26"/>
                <w:color w:val="auto"/>
                <w:vertAlign w:val="superscript"/>
              </w:rPr>
              <w:t>​ ​</w:t>
            </w:r>
          </w:p>
        </w:tc>
        <w:tc>
          <w:tcPr>
            <w:tcW w:w="200" w:type="dxa"/>
            <w:vAlign w:val="bottom"/>
            <w:tcBorders>
              <w:top w:val="single" w:sz="8" w:color="auto"/>
            </w:tcBorders>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760" w:type="dxa"/>
            <w:vAlign w:val="bottom"/>
            <w:tcBorders>
              <w:top w:val="single" w:sz="8" w:color="auto"/>
            </w:tcBorders>
            <w:gridSpan w:val="2"/>
          </w:tcPr>
          <w:p>
            <w:pPr>
              <w:jc w:val="right"/>
              <w:spacing w:after="0" w:line="227" w:lineRule="exact"/>
              <w:rPr>
                <w:sz w:val="20"/>
                <w:szCs w:val="20"/>
                <w:color w:val="auto"/>
              </w:rPr>
            </w:pPr>
            <w:r>
              <w:rPr>
                <w:rFonts w:ascii="Arial" w:cs="Arial" w:eastAsia="Arial" w:hAnsi="Arial"/>
                <w:sz w:val="14"/>
                <w:szCs w:val="14"/>
                <w:color w:val="auto"/>
              </w:rPr>
              <w:t>658,977</w:t>
            </w:r>
            <w:r>
              <w:rPr>
                <w:rFonts w:ascii="Arial" w:cs="Arial" w:eastAsia="Arial" w:hAnsi="Arial"/>
                <w:sz w:val="26"/>
                <w:szCs w:val="26"/>
                <w:color w:val="auto"/>
                <w:vertAlign w:val="superscript"/>
              </w:rPr>
              <w:t>​ ​</w:t>
            </w:r>
          </w:p>
        </w:tc>
        <w:tc>
          <w:tcPr>
            <w:tcW w:w="200" w:type="dxa"/>
            <w:vAlign w:val="bottom"/>
            <w:tcBorders>
              <w:top w:val="single" w:sz="8" w:color="auto"/>
            </w:tcBorders>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200" w:type="dxa"/>
            <w:vAlign w:val="bottom"/>
            <w:tcBorders>
              <w:top w:val="single" w:sz="8" w:color="auto"/>
            </w:tcBorders>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5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10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7,394,845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ind w:left="200"/>
              <w:spacing w:after="0" w:line="227"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7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500,923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980" w:type="dxa"/>
            <w:vAlign w:val="bottom"/>
            <w:tcBorders>
              <w:top w:val="single" w:sz="8" w:color="auto"/>
            </w:tcBorders>
            <w:gridSpan w:val="3"/>
          </w:tcPr>
          <w:p>
            <w:pPr>
              <w:jc w:val="right"/>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8,554,745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63"/>
        </w:trPr>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Executive Vice President</w:t>
            </w:r>
          </w:p>
        </w:tc>
        <w:tc>
          <w:tcPr>
            <w:tcW w:w="120" w:type="dxa"/>
            <w:vAlign w:val="bottom"/>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42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7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580" w:type="dxa"/>
            <w:vAlign w:val="bottom"/>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​2024 </w:t>
            </w:r>
            <w:r>
              <w:rPr>
                <w:rFonts w:ascii="Arial" w:cs="Arial" w:eastAsia="Arial" w:hAnsi="Arial"/>
                <w:sz w:val="28"/>
                <w:szCs w:val="28"/>
                <w:color w:val="auto"/>
                <w:vertAlign w:val="superscript"/>
              </w:rPr>
              <w:t>​ ​</w:t>
            </w:r>
          </w:p>
        </w:tc>
        <w:tc>
          <w:tcPr>
            <w:tcW w:w="200" w:type="dxa"/>
            <w:vAlign w:val="bottom"/>
            <w:vMerge w:val="restart"/>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gridSpan w:val="2"/>
            <w:vMerge w:val="restart"/>
          </w:tcPr>
          <w:p>
            <w:pPr>
              <w:jc w:val="right"/>
              <w:spacing w:after="0" w:line="257" w:lineRule="exact"/>
              <w:rPr>
                <w:sz w:val="20"/>
                <w:szCs w:val="20"/>
                <w:color w:val="auto"/>
              </w:rPr>
            </w:pPr>
            <w:r>
              <w:rPr>
                <w:rFonts w:ascii="Arial" w:cs="Arial" w:eastAsia="Arial" w:hAnsi="Arial"/>
                <w:sz w:val="14"/>
                <w:szCs w:val="14"/>
                <w:color w:val="auto"/>
              </w:rPr>
              <w:t>636,693</w:t>
            </w:r>
            <w:r>
              <w:rPr>
                <w:rFonts w:ascii="Arial" w:cs="Arial" w:eastAsia="Arial" w:hAnsi="Arial"/>
                <w:sz w:val="28"/>
                <w:szCs w:val="28"/>
                <w:color w:val="auto"/>
                <w:vertAlign w:val="superscript"/>
              </w:rPr>
              <w:t>​ ​</w:t>
            </w:r>
          </w:p>
        </w:tc>
        <w:tc>
          <w:tcPr>
            <w:tcW w:w="200" w:type="dxa"/>
            <w:vAlign w:val="bottom"/>
            <w:vMerge w:val="restart"/>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420" w:type="dxa"/>
            <w:vAlign w:val="bottom"/>
          </w:tcPr>
          <w:p>
            <w:pPr>
              <w:spacing w:after="0"/>
              <w:rPr>
                <w:sz w:val="9"/>
                <w:szCs w:val="9"/>
                <w:color w:val="auto"/>
              </w:rPr>
            </w:pPr>
          </w:p>
        </w:tc>
        <w:tc>
          <w:tcPr>
            <w:tcW w:w="340" w:type="dxa"/>
            <w:vAlign w:val="bottom"/>
            <w:vMerge w:val="restart"/>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4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2,372,923</w:t>
            </w:r>
            <w:r>
              <w:rPr>
                <w:rFonts w:ascii="Arial" w:cs="Arial" w:eastAsia="Arial" w:hAnsi="Arial"/>
                <w:sz w:val="28"/>
                <w:szCs w:val="28"/>
                <w:color w:val="auto"/>
                <w:vertAlign w:val="superscript"/>
              </w:rPr>
              <w:t>​ ​</w:t>
            </w:r>
          </w:p>
        </w:tc>
        <w:tc>
          <w:tcPr>
            <w:tcW w:w="1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1,739,844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20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275,400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5,024,860</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58"/>
        </w:trPr>
        <w:tc>
          <w:tcPr>
            <w:tcW w:w="1900" w:type="dxa"/>
            <w:vAlign w:val="bottom"/>
          </w:tcPr>
          <w:p>
            <w:pPr>
              <w:ind w:left="120"/>
              <w:spacing w:after="0" w:line="158" w:lineRule="exact"/>
              <w:rPr>
                <w:sz w:val="20"/>
                <w:szCs w:val="20"/>
                <w:color w:val="auto"/>
              </w:rPr>
            </w:pPr>
            <w:r>
              <w:rPr>
                <w:rFonts w:ascii="Arial" w:cs="Arial" w:eastAsia="Arial" w:hAnsi="Arial"/>
                <w:sz w:val="14"/>
                <w:szCs w:val="14"/>
                <w:color w:val="auto"/>
              </w:rPr>
              <w:t>and Chief Transformation</w:t>
            </w:r>
          </w:p>
        </w:tc>
        <w:tc>
          <w:tcPr>
            <w:tcW w:w="120" w:type="dxa"/>
            <w:vAlign w:val="bottom"/>
          </w:tcPr>
          <w:p>
            <w:pPr>
              <w:spacing w:after="0"/>
              <w:rPr>
                <w:sz w:val="13"/>
                <w:szCs w:val="13"/>
                <w:color w:val="auto"/>
              </w:rPr>
            </w:pPr>
          </w:p>
        </w:tc>
        <w:tc>
          <w:tcPr>
            <w:tcW w:w="140" w:type="dxa"/>
            <w:vAlign w:val="bottom"/>
            <w:tcBorders>
              <w:bottom w:val="single" w:sz="8" w:color="7F7F7F"/>
            </w:tcBorders>
            <w:vMerge w:val="continue"/>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580" w:type="dxa"/>
            <w:vAlign w:val="bottom"/>
            <w:tcBorders>
              <w:bottom w:val="single" w:sz="8" w:color="7F7F7F"/>
            </w:tcBorders>
            <w:vMerge w:val="continue"/>
          </w:tcPr>
          <w:p>
            <w:pPr>
              <w:spacing w:after="0"/>
              <w:rPr>
                <w:sz w:val="13"/>
                <w:szCs w:val="13"/>
                <w:color w:val="auto"/>
              </w:rPr>
            </w:pPr>
          </w:p>
        </w:tc>
        <w:tc>
          <w:tcPr>
            <w:tcW w:w="200" w:type="dxa"/>
            <w:vAlign w:val="bottom"/>
            <w:tcBorders>
              <w:bottom w:val="single" w:sz="8" w:color="7F7F7F"/>
            </w:tcBorders>
            <w:vMerge w:val="continue"/>
          </w:tcPr>
          <w:p>
            <w:pPr>
              <w:spacing w:after="0"/>
              <w:rPr>
                <w:sz w:val="13"/>
                <w:szCs w:val="13"/>
                <w:color w:val="auto"/>
              </w:rPr>
            </w:pPr>
          </w:p>
        </w:tc>
        <w:tc>
          <w:tcPr>
            <w:tcW w:w="760" w:type="dxa"/>
            <w:vAlign w:val="bottom"/>
            <w:tcBorders>
              <w:bottom w:val="single" w:sz="8" w:color="7F7F7F"/>
            </w:tcBorders>
            <w:gridSpan w:val="2"/>
            <w:vMerge w:val="continue"/>
          </w:tcPr>
          <w:p>
            <w:pPr>
              <w:spacing w:after="0"/>
              <w:rPr>
                <w:sz w:val="13"/>
                <w:szCs w:val="13"/>
                <w:color w:val="auto"/>
              </w:rPr>
            </w:pPr>
          </w:p>
        </w:tc>
        <w:tc>
          <w:tcPr>
            <w:tcW w:w="200" w:type="dxa"/>
            <w:vAlign w:val="bottom"/>
            <w:tcBorders>
              <w:bottom w:val="single" w:sz="8" w:color="7F7F7F"/>
            </w:tcBorders>
            <w:vMerge w:val="continue"/>
          </w:tcPr>
          <w:p>
            <w:pPr>
              <w:spacing w:after="0"/>
              <w:rPr>
                <w:sz w:val="13"/>
                <w:szCs w:val="13"/>
                <w:color w:val="auto"/>
              </w:rPr>
            </w:pPr>
          </w:p>
        </w:tc>
        <w:tc>
          <w:tcPr>
            <w:tcW w:w="420" w:type="dxa"/>
            <w:vAlign w:val="bottom"/>
            <w:tcBorders>
              <w:bottom w:val="single" w:sz="8" w:color="7F7F7F"/>
            </w:tcBorders>
          </w:tcPr>
          <w:p>
            <w:pPr>
              <w:spacing w:after="0"/>
              <w:rPr>
                <w:sz w:val="13"/>
                <w:szCs w:val="13"/>
                <w:color w:val="auto"/>
              </w:rPr>
            </w:pPr>
          </w:p>
        </w:tc>
        <w:tc>
          <w:tcPr>
            <w:tcW w:w="340" w:type="dxa"/>
            <w:vAlign w:val="bottom"/>
            <w:tcBorders>
              <w:bottom w:val="single" w:sz="8" w:color="7F7F7F"/>
            </w:tcBorders>
            <w:vMerge w:val="continue"/>
          </w:tcPr>
          <w:p>
            <w:pPr>
              <w:spacing w:after="0"/>
              <w:rPr>
                <w:sz w:val="13"/>
                <w:szCs w:val="13"/>
                <w:color w:val="auto"/>
              </w:rPr>
            </w:pPr>
          </w:p>
        </w:tc>
        <w:tc>
          <w:tcPr>
            <w:tcW w:w="1040" w:type="dxa"/>
            <w:vAlign w:val="bottom"/>
            <w:tcBorders>
              <w:bottom w:val="single" w:sz="8" w:color="7F7F7F"/>
            </w:tcBorders>
            <w:gridSpan w:val="3"/>
            <w:vMerge w:val="continue"/>
          </w:tcPr>
          <w:p>
            <w:pPr>
              <w:spacing w:after="0"/>
              <w:rPr>
                <w:sz w:val="13"/>
                <w:szCs w:val="13"/>
                <w:color w:val="auto"/>
              </w:rPr>
            </w:pPr>
          </w:p>
        </w:tc>
        <w:tc>
          <w:tcPr>
            <w:tcW w:w="100" w:type="dxa"/>
            <w:vAlign w:val="bottom"/>
            <w:tcBorders>
              <w:bottom w:val="single" w:sz="8" w:color="7F7F7F"/>
            </w:tcBorders>
            <w:vMerge w:val="continue"/>
          </w:tcPr>
          <w:p>
            <w:pPr>
              <w:spacing w:after="0"/>
              <w:rPr>
                <w:sz w:val="13"/>
                <w:szCs w:val="13"/>
                <w:color w:val="auto"/>
              </w:rPr>
            </w:pPr>
          </w:p>
        </w:tc>
        <w:tc>
          <w:tcPr>
            <w:tcW w:w="1040" w:type="dxa"/>
            <w:vAlign w:val="bottom"/>
            <w:tcBorders>
              <w:bottom w:val="single" w:sz="8" w:color="7F7F7F"/>
            </w:tcBorders>
            <w:vMerge w:val="continue"/>
          </w:tcPr>
          <w:p>
            <w:pPr>
              <w:spacing w:after="0"/>
              <w:rPr>
                <w:sz w:val="13"/>
                <w:szCs w:val="13"/>
                <w:color w:val="auto"/>
              </w:rPr>
            </w:pPr>
          </w:p>
        </w:tc>
        <w:tc>
          <w:tcPr>
            <w:tcW w:w="200" w:type="dxa"/>
            <w:vAlign w:val="bottom"/>
            <w:tcBorders>
              <w:bottom w:val="single" w:sz="8" w:color="7F7F7F"/>
            </w:tcBorders>
            <w:vMerge w:val="continue"/>
          </w:tcPr>
          <w:p>
            <w:pPr>
              <w:spacing w:after="0"/>
              <w:rPr>
                <w:sz w:val="13"/>
                <w:szCs w:val="13"/>
                <w:color w:val="auto"/>
              </w:rPr>
            </w:pPr>
          </w:p>
        </w:tc>
        <w:tc>
          <w:tcPr>
            <w:tcW w:w="100" w:type="dxa"/>
            <w:vAlign w:val="bottom"/>
            <w:tcBorders>
              <w:bottom w:val="single" w:sz="8" w:color="7F7F7F"/>
            </w:tcBorders>
            <w:vMerge w:val="continue"/>
          </w:tcPr>
          <w:p>
            <w:pPr>
              <w:spacing w:after="0"/>
              <w:rPr>
                <w:sz w:val="13"/>
                <w:szCs w:val="13"/>
                <w:color w:val="auto"/>
              </w:rPr>
            </w:pPr>
          </w:p>
        </w:tc>
        <w:tc>
          <w:tcPr>
            <w:tcW w:w="300" w:type="dxa"/>
            <w:vAlign w:val="bottom"/>
            <w:tcBorders>
              <w:bottom w:val="single" w:sz="8" w:color="7F7F7F"/>
            </w:tcBorders>
            <w:vMerge w:val="continue"/>
          </w:tcPr>
          <w:p>
            <w:pPr>
              <w:spacing w:after="0"/>
              <w:rPr>
                <w:sz w:val="13"/>
                <w:szCs w:val="13"/>
                <w:color w:val="auto"/>
              </w:rPr>
            </w:pPr>
          </w:p>
        </w:tc>
        <w:tc>
          <w:tcPr>
            <w:tcW w:w="740" w:type="dxa"/>
            <w:vAlign w:val="bottom"/>
            <w:tcBorders>
              <w:bottom w:val="single" w:sz="8" w:color="7F7F7F"/>
            </w:tcBorders>
            <w:vMerge w:val="continue"/>
          </w:tcPr>
          <w:p>
            <w:pPr>
              <w:spacing w:after="0"/>
              <w:rPr>
                <w:sz w:val="13"/>
                <w:szCs w:val="13"/>
                <w:color w:val="auto"/>
              </w:rPr>
            </w:pPr>
          </w:p>
        </w:tc>
        <w:tc>
          <w:tcPr>
            <w:tcW w:w="180" w:type="dxa"/>
            <w:vAlign w:val="bottom"/>
            <w:tcBorders>
              <w:bottom w:val="single" w:sz="8" w:color="7F7F7F"/>
            </w:tcBorders>
            <w:vMerge w:val="continue"/>
          </w:tcPr>
          <w:p>
            <w:pPr>
              <w:spacing w:after="0"/>
              <w:rPr>
                <w:sz w:val="13"/>
                <w:szCs w:val="13"/>
                <w:color w:val="auto"/>
              </w:rPr>
            </w:pPr>
          </w:p>
        </w:tc>
        <w:tc>
          <w:tcPr>
            <w:tcW w:w="980" w:type="dxa"/>
            <w:vAlign w:val="bottom"/>
            <w:tcBorders>
              <w:bottom w:val="single" w:sz="8" w:color="7F7F7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Officer</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​2023 </w:t>
            </w:r>
            <w:r>
              <w:rPr>
                <w:rFonts w:ascii="Arial" w:cs="Arial" w:eastAsia="Arial" w:hAnsi="Arial"/>
                <w:sz w:val="28"/>
                <w:szCs w:val="28"/>
                <w:color w:val="auto"/>
                <w:vertAlign w:val="superscript"/>
              </w:rPr>
              <w:t>​ ​</w:t>
            </w:r>
          </w:p>
        </w:tc>
        <w:tc>
          <w:tcPr>
            <w:tcW w:w="20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tcBorders>
              <w:bottom w:val="single" w:sz="8" w:color="auto"/>
            </w:tcBorders>
            <w:gridSpan w:val="2"/>
          </w:tcPr>
          <w:p>
            <w:pPr>
              <w:jc w:val="right"/>
              <w:spacing w:after="0" w:line="263" w:lineRule="exact"/>
              <w:rPr>
                <w:sz w:val="20"/>
                <w:szCs w:val="20"/>
                <w:color w:val="auto"/>
              </w:rPr>
            </w:pPr>
            <w:r>
              <w:rPr>
                <w:rFonts w:ascii="Arial" w:cs="Arial" w:eastAsia="Arial" w:hAnsi="Arial"/>
                <w:sz w:val="14"/>
                <w:szCs w:val="14"/>
                <w:color w:val="auto"/>
              </w:rPr>
              <w:t>620,000</w:t>
            </w:r>
            <w:r>
              <w:rPr>
                <w:rFonts w:ascii="Arial" w:cs="Arial" w:eastAsia="Arial" w:hAnsi="Arial"/>
                <w:sz w:val="28"/>
                <w:szCs w:val="28"/>
                <w:color w:val="auto"/>
                <w:vertAlign w:val="superscript"/>
              </w:rPr>
              <w:t>​ ​</w:t>
            </w:r>
          </w:p>
        </w:tc>
        <w:tc>
          <w:tcPr>
            <w:tcW w:w="20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tcBorders>
              <w:bottom w:val="single" w:sz="8" w:color="auto"/>
            </w:tcBorders>
            <w:gridSpan w:val="2"/>
          </w:tcPr>
          <w:p>
            <w:pPr>
              <w:jc w:val="right"/>
              <w:spacing w:after="0" w:line="263" w:lineRule="exact"/>
              <w:rPr>
                <w:sz w:val="20"/>
                <w:szCs w:val="20"/>
                <w:color w:val="auto"/>
              </w:rPr>
            </w:pPr>
            <w:r>
              <w:rPr>
                <w:rFonts w:ascii="Arial" w:cs="Arial" w:eastAsia="Arial" w:hAnsi="Arial"/>
                <w:sz w:val="14"/>
                <w:szCs w:val="14"/>
                <w:color w:val="auto"/>
              </w:rPr>
              <w:t>930,000</w:t>
            </w:r>
            <w:r>
              <w:rPr>
                <w:rFonts w:ascii="Arial" w:cs="Arial" w:eastAsia="Arial" w:hAnsi="Arial"/>
                <w:sz w:val="28"/>
                <w:szCs w:val="28"/>
                <w:color w:val="auto"/>
                <w:vertAlign w:val="superscript"/>
              </w:rPr>
              <w:t>​ ​</w:t>
            </w:r>
          </w:p>
        </w:tc>
        <w:tc>
          <w:tcPr>
            <w:tcW w:w="104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2,200,017</w:t>
            </w:r>
            <w:r>
              <w:rPr>
                <w:rFonts w:ascii="Arial" w:cs="Arial" w:eastAsia="Arial" w:hAnsi="Arial"/>
                <w:sz w:val="28"/>
                <w:szCs w:val="28"/>
                <w:color w:val="auto"/>
                <w:vertAlign w:val="superscript"/>
              </w:rPr>
              <w:t>​ ​</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2,365,125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0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168,841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6,283,983</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27"/>
        </w:trPr>
        <w:tc>
          <w:tcPr>
            <w:tcW w:w="1900" w:type="dxa"/>
            <w:vAlign w:val="bottom"/>
            <w:shd w:val="clear" w:color="auto" w:fill="E5E5E5"/>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b w:val="1"/>
                <w:bCs w:val="1"/>
                <w:color w:val="auto"/>
              </w:rPr>
              <w:t>Lisa French</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​2025 </w:t>
            </w:r>
            <w:r>
              <w:rPr>
                <w:rFonts w:ascii="Arial" w:cs="Arial" w:eastAsia="Arial" w:hAnsi="Arial"/>
                <w:sz w:val="26"/>
                <w:szCs w:val="26"/>
                <w:color w:val="auto"/>
                <w:vertAlign w:val="superscript"/>
              </w:rPr>
              <w:t>​ ​</w:t>
            </w:r>
          </w:p>
        </w:tc>
        <w:tc>
          <w:tcPr>
            <w:tcW w:w="200" w:type="dxa"/>
            <w:vAlign w:val="bottom"/>
            <w:shd w:val="clear" w:color="auto" w:fill="E5E5E5"/>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760" w:type="dxa"/>
            <w:vAlign w:val="bottom"/>
            <w:gridSpan w:val="2"/>
            <w:shd w:val="clear" w:color="auto" w:fill="E5E5E5"/>
          </w:tcPr>
          <w:p>
            <w:pPr>
              <w:jc w:val="right"/>
              <w:spacing w:after="0" w:line="227" w:lineRule="exact"/>
              <w:rPr>
                <w:sz w:val="20"/>
                <w:szCs w:val="20"/>
                <w:color w:val="auto"/>
              </w:rPr>
            </w:pPr>
            <w:r>
              <w:rPr>
                <w:rFonts w:ascii="Arial" w:cs="Arial" w:eastAsia="Arial" w:hAnsi="Arial"/>
                <w:sz w:val="14"/>
                <w:szCs w:val="14"/>
                <w:color w:val="auto"/>
              </w:rPr>
              <w:t>631,558</w:t>
            </w:r>
            <w:r>
              <w:rPr>
                <w:rFonts w:ascii="Arial" w:cs="Arial" w:eastAsia="Arial" w:hAnsi="Arial"/>
                <w:sz w:val="26"/>
                <w:szCs w:val="26"/>
                <w:color w:val="auto"/>
                <w:vertAlign w:val="superscript"/>
              </w:rPr>
              <w:t>​ ​</w:t>
            </w:r>
          </w:p>
        </w:tc>
        <w:tc>
          <w:tcPr>
            <w:tcW w:w="200" w:type="dxa"/>
            <w:vAlign w:val="bottom"/>
            <w:shd w:val="clear" w:color="auto" w:fill="E5E5E5"/>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420" w:type="dxa"/>
            <w:vAlign w:val="bottom"/>
            <w:shd w:val="clear" w:color="auto" w:fill="E5E5E5"/>
          </w:tcPr>
          <w:p>
            <w:pPr>
              <w:spacing w:after="0"/>
              <w:rPr>
                <w:sz w:val="19"/>
                <w:szCs w:val="19"/>
                <w:color w:val="auto"/>
              </w:rPr>
            </w:pPr>
          </w:p>
        </w:tc>
        <w:tc>
          <w:tcPr>
            <w:tcW w:w="340" w:type="dxa"/>
            <w:vAlign w:val="bottom"/>
            <w:shd w:val="clear" w:color="auto" w:fill="E5E5E5"/>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200" w:type="dxa"/>
            <w:vAlign w:val="bottom"/>
            <w:shd w:val="clear" w:color="auto" w:fill="E5E5E5"/>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500" w:type="dxa"/>
            <w:vAlign w:val="bottom"/>
            <w:shd w:val="clear" w:color="auto" w:fill="E5E5E5"/>
          </w:tcPr>
          <w:p>
            <w:pPr>
              <w:spacing w:after="0"/>
              <w:rPr>
                <w:sz w:val="19"/>
                <w:szCs w:val="19"/>
                <w:color w:val="auto"/>
              </w:rPr>
            </w:pPr>
          </w:p>
        </w:tc>
        <w:tc>
          <w:tcPr>
            <w:tcW w:w="340" w:type="dxa"/>
            <w:vAlign w:val="bottom"/>
            <w:shd w:val="clear" w:color="auto" w:fill="E5E5E5"/>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1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7,357,932</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E5E5E5"/>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ind w:left="200"/>
              <w:spacing w:after="0" w:line="227"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505,820</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shd w:val="clear" w:color="auto" w:fill="E5E5E5"/>
          </w:tcPr>
          <w:p>
            <w:pPr>
              <w:jc w:val="right"/>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8,495,310</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63"/>
        </w:trPr>
        <w:tc>
          <w:tcPr>
            <w:tcW w:w="1900" w:type="dxa"/>
            <w:vAlign w:val="bottom"/>
            <w:tcBorders>
              <w:bottom w:val="single" w:sz="8" w:color="E5E5E5"/>
            </w:tcBorders>
            <w:vMerge w:val="restart"/>
            <w:shd w:val="clear" w:color="auto" w:fill="E5E5E5"/>
          </w:tcPr>
          <w:p>
            <w:pPr>
              <w:ind w:left="120"/>
              <w:spacing w:after="0"/>
              <w:rPr>
                <w:sz w:val="20"/>
                <w:szCs w:val="20"/>
                <w:color w:val="auto"/>
              </w:rPr>
            </w:pPr>
            <w:r>
              <w:rPr>
                <w:rFonts w:ascii="Arial" w:cs="Arial" w:eastAsia="Arial" w:hAnsi="Arial"/>
                <w:sz w:val="14"/>
                <w:szCs w:val="14"/>
                <w:color w:val="auto"/>
              </w:rPr>
              <w:t>Executive Vice President</w:t>
            </w:r>
          </w:p>
        </w:tc>
        <w:tc>
          <w:tcPr>
            <w:tcW w:w="120" w:type="dxa"/>
            <w:vAlign w:val="bottom"/>
            <w:tcBorders>
              <w:bottom w:val="single" w:sz="8" w:color="E5E5E5"/>
            </w:tcBorders>
            <w:shd w:val="clear" w:color="auto" w:fill="E5E5E5"/>
          </w:tcPr>
          <w:p>
            <w:pPr>
              <w:spacing w:after="0"/>
              <w:rPr>
                <w:sz w:val="5"/>
                <w:szCs w:val="5"/>
                <w:color w:val="auto"/>
              </w:rPr>
            </w:pPr>
          </w:p>
        </w:tc>
        <w:tc>
          <w:tcPr>
            <w:tcW w:w="140" w:type="dxa"/>
            <w:vAlign w:val="bottom"/>
            <w:tcBorders>
              <w:bottom w:val="single" w:sz="8" w:color="7F7F7F"/>
            </w:tcBorders>
            <w:shd w:val="clear" w:color="auto" w:fill="E5E5E5"/>
          </w:tcPr>
          <w:p>
            <w:pPr>
              <w:spacing w:after="0"/>
              <w:rPr>
                <w:sz w:val="5"/>
                <w:szCs w:val="5"/>
                <w:color w:val="auto"/>
              </w:rPr>
            </w:pPr>
          </w:p>
        </w:tc>
        <w:tc>
          <w:tcPr>
            <w:tcW w:w="60" w:type="dxa"/>
            <w:vAlign w:val="bottom"/>
            <w:tcBorders>
              <w:bottom w:val="single" w:sz="8" w:color="7F7F7F"/>
            </w:tcBorders>
            <w:shd w:val="clear" w:color="auto" w:fill="E5E5E5"/>
          </w:tcPr>
          <w:p>
            <w:pPr>
              <w:spacing w:after="0"/>
              <w:rPr>
                <w:sz w:val="5"/>
                <w:szCs w:val="5"/>
                <w:color w:val="auto"/>
              </w:rPr>
            </w:pPr>
          </w:p>
        </w:tc>
        <w:tc>
          <w:tcPr>
            <w:tcW w:w="58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56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420" w:type="dxa"/>
            <w:vAlign w:val="bottom"/>
            <w:tcBorders>
              <w:bottom w:val="single" w:sz="8" w:color="7F7F7F"/>
            </w:tcBorders>
            <w:shd w:val="clear" w:color="auto" w:fill="E5E5E5"/>
          </w:tcPr>
          <w:p>
            <w:pPr>
              <w:spacing w:after="0"/>
              <w:rPr>
                <w:sz w:val="5"/>
                <w:szCs w:val="5"/>
                <w:color w:val="auto"/>
              </w:rPr>
            </w:pPr>
          </w:p>
        </w:tc>
        <w:tc>
          <w:tcPr>
            <w:tcW w:w="34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500" w:type="dxa"/>
            <w:vAlign w:val="bottom"/>
            <w:tcBorders>
              <w:bottom w:val="single" w:sz="8" w:color="7F7F7F"/>
            </w:tcBorders>
            <w:shd w:val="clear" w:color="auto" w:fill="E5E5E5"/>
          </w:tcPr>
          <w:p>
            <w:pPr>
              <w:spacing w:after="0"/>
              <w:rPr>
                <w:sz w:val="5"/>
                <w:szCs w:val="5"/>
                <w:color w:val="auto"/>
              </w:rPr>
            </w:pPr>
          </w:p>
        </w:tc>
        <w:tc>
          <w:tcPr>
            <w:tcW w:w="340" w:type="dxa"/>
            <w:vAlign w:val="bottom"/>
            <w:tcBorders>
              <w:bottom w:val="single" w:sz="8" w:color="7F7F7F"/>
            </w:tcBorders>
            <w:shd w:val="clear" w:color="auto" w:fill="E5E5E5"/>
          </w:tcPr>
          <w:p>
            <w:pPr>
              <w:spacing w:after="0"/>
              <w:rPr>
                <w:sz w:val="5"/>
                <w:szCs w:val="5"/>
                <w:color w:val="auto"/>
              </w:rPr>
            </w:pPr>
          </w:p>
        </w:tc>
        <w:tc>
          <w:tcPr>
            <w:tcW w:w="100" w:type="dxa"/>
            <w:vAlign w:val="bottom"/>
            <w:tcBorders>
              <w:bottom w:val="single" w:sz="8" w:color="7F7F7F"/>
            </w:tcBorders>
            <w:shd w:val="clear" w:color="auto" w:fill="E5E5E5"/>
          </w:tcPr>
          <w:p>
            <w:pPr>
              <w:spacing w:after="0"/>
              <w:rPr>
                <w:sz w:val="5"/>
                <w:szCs w:val="5"/>
                <w:color w:val="auto"/>
              </w:rPr>
            </w:pPr>
          </w:p>
        </w:tc>
        <w:tc>
          <w:tcPr>
            <w:tcW w:w="104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100" w:type="dxa"/>
            <w:vAlign w:val="bottom"/>
            <w:tcBorders>
              <w:bottom w:val="single" w:sz="8" w:color="7F7F7F"/>
            </w:tcBorders>
            <w:shd w:val="clear" w:color="auto" w:fill="E5E5E5"/>
          </w:tcPr>
          <w:p>
            <w:pPr>
              <w:spacing w:after="0"/>
              <w:rPr>
                <w:sz w:val="5"/>
                <w:szCs w:val="5"/>
                <w:color w:val="auto"/>
              </w:rPr>
            </w:pPr>
          </w:p>
        </w:tc>
        <w:tc>
          <w:tcPr>
            <w:tcW w:w="300" w:type="dxa"/>
            <w:vAlign w:val="bottom"/>
            <w:tcBorders>
              <w:bottom w:val="single" w:sz="8" w:color="7F7F7F"/>
            </w:tcBorders>
            <w:shd w:val="clear" w:color="auto" w:fill="E5E5E5"/>
          </w:tcPr>
          <w:p>
            <w:pPr>
              <w:spacing w:after="0"/>
              <w:rPr>
                <w:sz w:val="5"/>
                <w:szCs w:val="5"/>
                <w:color w:val="auto"/>
              </w:rPr>
            </w:pPr>
          </w:p>
        </w:tc>
        <w:tc>
          <w:tcPr>
            <w:tcW w:w="740" w:type="dxa"/>
            <w:vAlign w:val="bottom"/>
            <w:tcBorders>
              <w:bottom w:val="single" w:sz="8" w:color="7F7F7F"/>
            </w:tcBorders>
            <w:shd w:val="clear" w:color="auto" w:fill="E5E5E5"/>
          </w:tcPr>
          <w:p>
            <w:pPr>
              <w:spacing w:after="0"/>
              <w:rPr>
                <w:sz w:val="5"/>
                <w:szCs w:val="5"/>
                <w:color w:val="auto"/>
              </w:rPr>
            </w:pPr>
          </w:p>
        </w:tc>
        <w:tc>
          <w:tcPr>
            <w:tcW w:w="180" w:type="dxa"/>
            <w:vAlign w:val="bottom"/>
            <w:tcBorders>
              <w:bottom w:val="single" w:sz="8" w:color="7F7F7F"/>
            </w:tcBorders>
            <w:shd w:val="clear" w:color="auto" w:fill="E5E5E5"/>
          </w:tcPr>
          <w:p>
            <w:pPr>
              <w:spacing w:after="0"/>
              <w:rPr>
                <w:sz w:val="5"/>
                <w:szCs w:val="5"/>
                <w:color w:val="auto"/>
              </w:rPr>
            </w:pPr>
          </w:p>
        </w:tc>
        <w:tc>
          <w:tcPr>
            <w:tcW w:w="220" w:type="dxa"/>
            <w:vAlign w:val="bottom"/>
            <w:tcBorders>
              <w:bottom w:val="single" w:sz="8" w:color="7F7F7F"/>
            </w:tcBorders>
            <w:shd w:val="clear" w:color="auto" w:fill="E5E5E5"/>
          </w:tcPr>
          <w:p>
            <w:pPr>
              <w:spacing w:after="0"/>
              <w:rPr>
                <w:sz w:val="5"/>
                <w:szCs w:val="5"/>
                <w:color w:val="auto"/>
              </w:rPr>
            </w:pPr>
          </w:p>
        </w:tc>
        <w:tc>
          <w:tcPr>
            <w:tcW w:w="580" w:type="dxa"/>
            <w:vAlign w:val="bottom"/>
            <w:tcBorders>
              <w:bottom w:val="single" w:sz="8" w:color="7F7F7F"/>
            </w:tcBorders>
            <w:shd w:val="clear" w:color="auto" w:fill="E5E5E5"/>
          </w:tcPr>
          <w:p>
            <w:pPr>
              <w:spacing w:after="0"/>
              <w:rPr>
                <w:sz w:val="5"/>
                <w:szCs w:val="5"/>
                <w:color w:val="auto"/>
              </w:rPr>
            </w:pPr>
          </w:p>
        </w:tc>
        <w:tc>
          <w:tcPr>
            <w:tcW w:w="180" w:type="dxa"/>
            <w:vAlign w:val="bottom"/>
            <w:tcBorders>
              <w:bottom w:val="single" w:sz="8" w:color="7F7F7F"/>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900" w:type="dxa"/>
            <w:vAlign w:val="bottom"/>
            <w:vMerge w:val="continue"/>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40" w:type="dxa"/>
            <w:vAlign w:val="bottom"/>
            <w:vMerge w:val="restart"/>
            <w:shd w:val="clear" w:color="auto" w:fill="E5E5E5"/>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9"/>
                <w:szCs w:val="9"/>
                <w:color w:val="auto"/>
              </w:rPr>
            </w:pPr>
          </w:p>
        </w:tc>
        <w:tc>
          <w:tcPr>
            <w:tcW w:w="580" w:type="dxa"/>
            <w:vAlign w:val="bottom"/>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​2024 </w:t>
            </w:r>
            <w:r>
              <w:rPr>
                <w:rFonts w:ascii="Arial" w:cs="Arial" w:eastAsia="Arial" w:hAnsi="Arial"/>
                <w:sz w:val="28"/>
                <w:szCs w:val="28"/>
                <w:color w:val="auto"/>
                <w:vertAlign w:val="superscript"/>
              </w:rPr>
              <w:t>​ ​</w:t>
            </w:r>
          </w:p>
        </w:tc>
        <w:tc>
          <w:tcPr>
            <w:tcW w:w="200" w:type="dxa"/>
            <w:vAlign w:val="bottom"/>
            <w:vMerge w:val="restart"/>
            <w:shd w:val="clear" w:color="auto" w:fill="E5E5E5"/>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gridSpan w:val="2"/>
            <w:vMerge w:val="restart"/>
            <w:shd w:val="clear" w:color="auto" w:fill="E5E5E5"/>
          </w:tcPr>
          <w:p>
            <w:pPr>
              <w:jc w:val="right"/>
              <w:spacing w:after="0" w:line="257" w:lineRule="exact"/>
              <w:rPr>
                <w:sz w:val="20"/>
                <w:szCs w:val="20"/>
                <w:color w:val="auto"/>
              </w:rPr>
            </w:pPr>
            <w:r>
              <w:rPr>
                <w:rFonts w:ascii="Arial" w:cs="Arial" w:eastAsia="Arial" w:hAnsi="Arial"/>
                <w:sz w:val="14"/>
                <w:szCs w:val="14"/>
                <w:color w:val="auto"/>
              </w:rPr>
              <w:t>606,923</w:t>
            </w:r>
            <w:r>
              <w:rPr>
                <w:rFonts w:ascii="Arial" w:cs="Arial" w:eastAsia="Arial" w:hAnsi="Arial"/>
                <w:sz w:val="28"/>
                <w:szCs w:val="28"/>
                <w:color w:val="auto"/>
                <w:vertAlign w:val="superscript"/>
              </w:rPr>
              <w:t>​ ​</w:t>
            </w:r>
          </w:p>
        </w:tc>
        <w:tc>
          <w:tcPr>
            <w:tcW w:w="200" w:type="dxa"/>
            <w:vAlign w:val="bottom"/>
            <w:vMerge w:val="restart"/>
            <w:shd w:val="clear" w:color="auto" w:fill="E5E5E5"/>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420" w:type="dxa"/>
            <w:vAlign w:val="bottom"/>
            <w:shd w:val="clear" w:color="auto" w:fill="E5E5E5"/>
          </w:tcPr>
          <w:p>
            <w:pPr>
              <w:spacing w:after="0"/>
              <w:rPr>
                <w:sz w:val="9"/>
                <w:szCs w:val="9"/>
                <w:color w:val="auto"/>
              </w:rPr>
            </w:pPr>
          </w:p>
        </w:tc>
        <w:tc>
          <w:tcPr>
            <w:tcW w:w="340" w:type="dxa"/>
            <w:vAlign w:val="bottom"/>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40" w:type="dxa"/>
            <w:vAlign w:val="bottom"/>
            <w:gridSpan w:val="3"/>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2,372,923</w:t>
            </w:r>
            <w:r>
              <w:rPr>
                <w:rFonts w:ascii="Arial" w:cs="Arial" w:eastAsia="Arial" w:hAnsi="Arial"/>
                <w:sz w:val="28"/>
                <w:szCs w:val="28"/>
                <w:color w:val="auto"/>
                <w:vertAlign w:val="superscript"/>
              </w:rPr>
              <w:t>​ ​</w:t>
            </w:r>
          </w:p>
        </w:tc>
        <w:tc>
          <w:tcPr>
            <w:tcW w:w="100" w:type="dxa"/>
            <w:vAlign w:val="bottom"/>
            <w:vMerge w:val="restart"/>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5E5E5"/>
          </w:tcPr>
          <w:p>
            <w:pPr>
              <w:jc w:val="center"/>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1,701,396</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E5E5E5"/>
          </w:tcPr>
          <w:p>
            <w:pPr>
              <w:ind w:left="20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vMerge w:val="restart"/>
            <w:shd w:val="clear" w:color="auto" w:fill="E5E5E5"/>
          </w:tcPr>
          <w:p>
            <w:pPr>
              <w:jc w:val="right"/>
              <w:ind w:right="108"/>
              <w:spacing w:after="0"/>
              <w:rPr>
                <w:sz w:val="20"/>
                <w:szCs w:val="20"/>
                <w:color w:val="auto"/>
              </w:rPr>
            </w:pPr>
            <w:r>
              <w:rPr>
                <w:rFonts w:ascii="Arial" w:cs="Arial" w:eastAsia="Arial" w:hAnsi="Arial"/>
                <w:sz w:val="14"/>
                <w:szCs w:val="14"/>
                <w:color w:val="auto"/>
              </w:rPr>
              <w:t>179,509</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4,860,752</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58"/>
        </w:trPr>
        <w:tc>
          <w:tcPr>
            <w:tcW w:w="1900" w:type="dxa"/>
            <w:vAlign w:val="bottom"/>
            <w:tcBorders>
              <w:bottom w:val="single" w:sz="8" w:color="E5E5E5"/>
            </w:tcBorders>
            <w:shd w:val="clear" w:color="auto" w:fill="E5E5E5"/>
          </w:tcPr>
          <w:p>
            <w:pPr>
              <w:ind w:left="120"/>
              <w:spacing w:after="0" w:line="158" w:lineRule="exact"/>
              <w:rPr>
                <w:sz w:val="20"/>
                <w:szCs w:val="20"/>
                <w:color w:val="auto"/>
              </w:rPr>
            </w:pPr>
            <w:r>
              <w:rPr>
                <w:rFonts w:ascii="Arial" w:cs="Arial" w:eastAsia="Arial" w:hAnsi="Arial"/>
                <w:sz w:val="14"/>
                <w:szCs w:val="14"/>
                <w:color w:val="auto"/>
              </w:rPr>
              <w:t>and Chief Commercial</w:t>
            </w:r>
          </w:p>
        </w:tc>
        <w:tc>
          <w:tcPr>
            <w:tcW w:w="120" w:type="dxa"/>
            <w:vAlign w:val="bottom"/>
            <w:tcBorders>
              <w:bottom w:val="single" w:sz="8" w:color="E5E5E5"/>
            </w:tcBorders>
            <w:shd w:val="clear" w:color="auto" w:fill="E5E5E5"/>
          </w:tcPr>
          <w:p>
            <w:pPr>
              <w:spacing w:after="0"/>
              <w:rPr>
                <w:sz w:val="13"/>
                <w:szCs w:val="13"/>
                <w:color w:val="auto"/>
              </w:rPr>
            </w:pPr>
          </w:p>
        </w:tc>
        <w:tc>
          <w:tcPr>
            <w:tcW w:w="140" w:type="dxa"/>
            <w:vAlign w:val="bottom"/>
            <w:tcBorders>
              <w:bottom w:val="single" w:sz="8" w:color="7F7F7F"/>
            </w:tcBorders>
            <w:vMerge w:val="continue"/>
            <w:shd w:val="clear" w:color="auto" w:fill="E5E5E5"/>
          </w:tcPr>
          <w:p>
            <w:pPr>
              <w:spacing w:after="0"/>
              <w:rPr>
                <w:sz w:val="13"/>
                <w:szCs w:val="13"/>
                <w:color w:val="auto"/>
              </w:rPr>
            </w:pPr>
          </w:p>
        </w:tc>
        <w:tc>
          <w:tcPr>
            <w:tcW w:w="60" w:type="dxa"/>
            <w:vAlign w:val="bottom"/>
            <w:tcBorders>
              <w:bottom w:val="single" w:sz="8" w:color="7F7F7F"/>
            </w:tcBorders>
            <w:shd w:val="clear" w:color="auto" w:fill="E5E5E5"/>
          </w:tcPr>
          <w:p>
            <w:pPr>
              <w:spacing w:after="0"/>
              <w:rPr>
                <w:sz w:val="13"/>
                <w:szCs w:val="13"/>
                <w:color w:val="auto"/>
              </w:rPr>
            </w:pPr>
          </w:p>
        </w:tc>
        <w:tc>
          <w:tcPr>
            <w:tcW w:w="580" w:type="dxa"/>
            <w:vAlign w:val="bottom"/>
            <w:tcBorders>
              <w:bottom w:val="single" w:sz="8" w:color="7F7F7F"/>
            </w:tcBorders>
            <w:vMerge w:val="continue"/>
            <w:shd w:val="clear" w:color="auto" w:fill="E5E5E5"/>
          </w:tcPr>
          <w:p>
            <w:pPr>
              <w:spacing w:after="0"/>
              <w:rPr>
                <w:sz w:val="13"/>
                <w:szCs w:val="13"/>
                <w:color w:val="auto"/>
              </w:rPr>
            </w:pPr>
          </w:p>
        </w:tc>
        <w:tc>
          <w:tcPr>
            <w:tcW w:w="200" w:type="dxa"/>
            <w:vAlign w:val="bottom"/>
            <w:tcBorders>
              <w:bottom w:val="single" w:sz="8" w:color="7F7F7F"/>
            </w:tcBorders>
            <w:vMerge w:val="continue"/>
            <w:shd w:val="clear" w:color="auto" w:fill="E5E5E5"/>
          </w:tcPr>
          <w:p>
            <w:pPr>
              <w:spacing w:after="0"/>
              <w:rPr>
                <w:sz w:val="13"/>
                <w:szCs w:val="13"/>
                <w:color w:val="auto"/>
              </w:rPr>
            </w:pPr>
          </w:p>
        </w:tc>
        <w:tc>
          <w:tcPr>
            <w:tcW w:w="760" w:type="dxa"/>
            <w:vAlign w:val="bottom"/>
            <w:tcBorders>
              <w:bottom w:val="single" w:sz="8" w:color="7F7F7F"/>
            </w:tcBorders>
            <w:gridSpan w:val="2"/>
            <w:vMerge w:val="continue"/>
            <w:shd w:val="clear" w:color="auto" w:fill="E5E5E5"/>
          </w:tcPr>
          <w:p>
            <w:pPr>
              <w:spacing w:after="0"/>
              <w:rPr>
                <w:sz w:val="13"/>
                <w:szCs w:val="13"/>
                <w:color w:val="auto"/>
              </w:rPr>
            </w:pPr>
          </w:p>
        </w:tc>
        <w:tc>
          <w:tcPr>
            <w:tcW w:w="200" w:type="dxa"/>
            <w:vAlign w:val="bottom"/>
            <w:tcBorders>
              <w:bottom w:val="single" w:sz="8" w:color="7F7F7F"/>
            </w:tcBorders>
            <w:vMerge w:val="continue"/>
            <w:shd w:val="clear" w:color="auto" w:fill="E5E5E5"/>
          </w:tcPr>
          <w:p>
            <w:pPr>
              <w:spacing w:after="0"/>
              <w:rPr>
                <w:sz w:val="13"/>
                <w:szCs w:val="13"/>
                <w:color w:val="auto"/>
              </w:rPr>
            </w:pPr>
          </w:p>
        </w:tc>
        <w:tc>
          <w:tcPr>
            <w:tcW w:w="420" w:type="dxa"/>
            <w:vAlign w:val="bottom"/>
            <w:tcBorders>
              <w:bottom w:val="single" w:sz="8" w:color="7F7F7F"/>
            </w:tcBorders>
            <w:shd w:val="clear" w:color="auto" w:fill="E5E5E5"/>
          </w:tcPr>
          <w:p>
            <w:pPr>
              <w:spacing w:after="0"/>
              <w:rPr>
                <w:sz w:val="13"/>
                <w:szCs w:val="13"/>
                <w:color w:val="auto"/>
              </w:rPr>
            </w:pPr>
          </w:p>
        </w:tc>
        <w:tc>
          <w:tcPr>
            <w:tcW w:w="340" w:type="dxa"/>
            <w:vAlign w:val="bottom"/>
            <w:tcBorders>
              <w:bottom w:val="single" w:sz="8" w:color="7F7F7F"/>
            </w:tcBorders>
            <w:vMerge w:val="continue"/>
            <w:shd w:val="clear" w:color="auto" w:fill="E5E5E5"/>
          </w:tcPr>
          <w:p>
            <w:pPr>
              <w:spacing w:after="0"/>
              <w:rPr>
                <w:sz w:val="13"/>
                <w:szCs w:val="13"/>
                <w:color w:val="auto"/>
              </w:rPr>
            </w:pPr>
          </w:p>
        </w:tc>
        <w:tc>
          <w:tcPr>
            <w:tcW w:w="1040" w:type="dxa"/>
            <w:vAlign w:val="bottom"/>
            <w:tcBorders>
              <w:bottom w:val="single" w:sz="8" w:color="7F7F7F"/>
            </w:tcBorders>
            <w:gridSpan w:val="3"/>
            <w:vMerge w:val="continue"/>
            <w:shd w:val="clear" w:color="auto" w:fill="E5E5E5"/>
          </w:tcPr>
          <w:p>
            <w:pPr>
              <w:spacing w:after="0"/>
              <w:rPr>
                <w:sz w:val="13"/>
                <w:szCs w:val="13"/>
                <w:color w:val="auto"/>
              </w:rPr>
            </w:pPr>
          </w:p>
        </w:tc>
        <w:tc>
          <w:tcPr>
            <w:tcW w:w="100" w:type="dxa"/>
            <w:vAlign w:val="bottom"/>
            <w:tcBorders>
              <w:bottom w:val="single" w:sz="8" w:color="7F7F7F"/>
            </w:tcBorders>
            <w:vMerge w:val="continue"/>
            <w:shd w:val="clear" w:color="auto" w:fill="E5E5E5"/>
          </w:tcPr>
          <w:p>
            <w:pPr>
              <w:spacing w:after="0"/>
              <w:rPr>
                <w:sz w:val="13"/>
                <w:szCs w:val="13"/>
                <w:color w:val="auto"/>
              </w:rPr>
            </w:pPr>
          </w:p>
        </w:tc>
        <w:tc>
          <w:tcPr>
            <w:tcW w:w="1040" w:type="dxa"/>
            <w:vAlign w:val="bottom"/>
            <w:tcBorders>
              <w:bottom w:val="single" w:sz="8" w:color="7F7F7F"/>
            </w:tcBorders>
            <w:vMerge w:val="continue"/>
            <w:shd w:val="clear" w:color="auto" w:fill="E5E5E5"/>
          </w:tcPr>
          <w:p>
            <w:pPr>
              <w:spacing w:after="0"/>
              <w:rPr>
                <w:sz w:val="13"/>
                <w:szCs w:val="13"/>
                <w:color w:val="auto"/>
              </w:rPr>
            </w:pPr>
          </w:p>
        </w:tc>
        <w:tc>
          <w:tcPr>
            <w:tcW w:w="200" w:type="dxa"/>
            <w:vAlign w:val="bottom"/>
            <w:tcBorders>
              <w:bottom w:val="single" w:sz="8" w:color="7F7F7F"/>
            </w:tcBorders>
            <w:vMerge w:val="continue"/>
            <w:shd w:val="clear" w:color="auto" w:fill="E5E5E5"/>
          </w:tcPr>
          <w:p>
            <w:pPr>
              <w:spacing w:after="0"/>
              <w:rPr>
                <w:sz w:val="13"/>
                <w:szCs w:val="13"/>
                <w:color w:val="auto"/>
              </w:rPr>
            </w:pPr>
          </w:p>
        </w:tc>
        <w:tc>
          <w:tcPr>
            <w:tcW w:w="100" w:type="dxa"/>
            <w:vAlign w:val="bottom"/>
            <w:tcBorders>
              <w:bottom w:val="single" w:sz="8" w:color="7F7F7F"/>
            </w:tcBorders>
            <w:vMerge w:val="continue"/>
            <w:shd w:val="clear" w:color="auto" w:fill="E5E5E5"/>
          </w:tcPr>
          <w:p>
            <w:pPr>
              <w:spacing w:after="0"/>
              <w:rPr>
                <w:sz w:val="13"/>
                <w:szCs w:val="13"/>
                <w:color w:val="auto"/>
              </w:rPr>
            </w:pPr>
          </w:p>
        </w:tc>
        <w:tc>
          <w:tcPr>
            <w:tcW w:w="300" w:type="dxa"/>
            <w:vAlign w:val="bottom"/>
            <w:tcBorders>
              <w:bottom w:val="single" w:sz="8" w:color="7F7F7F"/>
            </w:tcBorders>
            <w:vMerge w:val="continue"/>
            <w:shd w:val="clear" w:color="auto" w:fill="E5E5E5"/>
          </w:tcPr>
          <w:p>
            <w:pPr>
              <w:spacing w:after="0"/>
              <w:rPr>
                <w:sz w:val="13"/>
                <w:szCs w:val="13"/>
                <w:color w:val="auto"/>
              </w:rPr>
            </w:pPr>
          </w:p>
        </w:tc>
        <w:tc>
          <w:tcPr>
            <w:tcW w:w="740" w:type="dxa"/>
            <w:vAlign w:val="bottom"/>
            <w:tcBorders>
              <w:bottom w:val="single" w:sz="8" w:color="7F7F7F"/>
            </w:tcBorders>
            <w:vMerge w:val="continue"/>
            <w:shd w:val="clear" w:color="auto" w:fill="E5E5E5"/>
          </w:tcPr>
          <w:p>
            <w:pPr>
              <w:spacing w:after="0"/>
              <w:rPr>
                <w:sz w:val="13"/>
                <w:szCs w:val="13"/>
                <w:color w:val="auto"/>
              </w:rPr>
            </w:pPr>
          </w:p>
        </w:tc>
        <w:tc>
          <w:tcPr>
            <w:tcW w:w="180" w:type="dxa"/>
            <w:vAlign w:val="bottom"/>
            <w:tcBorders>
              <w:bottom w:val="single" w:sz="8" w:color="7F7F7F"/>
            </w:tcBorders>
            <w:vMerge w:val="continue"/>
            <w:shd w:val="clear" w:color="auto" w:fill="E5E5E5"/>
          </w:tcPr>
          <w:p>
            <w:pPr>
              <w:spacing w:after="0"/>
              <w:rPr>
                <w:sz w:val="13"/>
                <w:szCs w:val="13"/>
                <w:color w:val="auto"/>
              </w:rPr>
            </w:pPr>
          </w:p>
        </w:tc>
        <w:tc>
          <w:tcPr>
            <w:tcW w:w="980" w:type="dxa"/>
            <w:vAlign w:val="bottom"/>
            <w:tcBorders>
              <w:bottom w:val="single" w:sz="8" w:color="7F7F7F"/>
            </w:tcBorders>
            <w:gridSpan w:val="3"/>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Officer</w:t>
            </w:r>
          </w:p>
        </w:tc>
        <w:tc>
          <w:tcPr>
            <w:tcW w:w="120" w:type="dxa"/>
            <w:vAlign w:val="bottom"/>
            <w:tcBorders>
              <w:bottom w:val="single" w:sz="8" w:color="auto"/>
            </w:tcBorders>
            <w:shd w:val="clear" w:color="auto" w:fill="E5E5E5"/>
          </w:tcPr>
          <w:p>
            <w:pPr>
              <w:spacing w:after="0"/>
              <w:rPr>
                <w:sz w:val="22"/>
                <w:szCs w:val="22"/>
                <w:color w:val="auto"/>
              </w:rPr>
            </w:pPr>
          </w:p>
        </w:tc>
        <w:tc>
          <w:tcPr>
            <w:tcW w:w="1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E5E5E5"/>
          </w:tcPr>
          <w:p>
            <w:pPr>
              <w:spacing w:after="0"/>
              <w:rPr>
                <w:sz w:val="22"/>
                <w:szCs w:val="22"/>
                <w:color w:val="auto"/>
              </w:rPr>
            </w:pPr>
          </w:p>
        </w:tc>
        <w:tc>
          <w:tcPr>
            <w:tcW w:w="580" w:type="dxa"/>
            <w:vAlign w:val="bottom"/>
            <w:tcBorders>
              <w:bottom w:val="single" w:sz="8" w:color="auto"/>
            </w:tcBorders>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shd w:val="clear" w:color="auto" w:fill="E5E5E5"/>
              </w:rPr>
              <w:t xml:space="preserve">​2023 </w:t>
            </w:r>
            <w:r>
              <w:rPr>
                <w:rFonts w:ascii="Arial" w:cs="Arial" w:eastAsia="Arial" w:hAnsi="Arial"/>
                <w:sz w:val="28"/>
                <w:szCs w:val="28"/>
                <w:color w:val="auto"/>
                <w:vertAlign w:val="superscript"/>
                <w:shd w:val="clear" w:color="auto" w:fill="E5E5E5"/>
              </w:rPr>
              <w:t>​ ​</w:t>
            </w:r>
          </w:p>
        </w:tc>
        <w:tc>
          <w:tcPr>
            <w:tcW w:w="20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14"/>
                <w:szCs w:val="14"/>
                <w:color w:val="auto"/>
                <w:shd w:val="clear" w:color="auto" w:fill="E5E5E5"/>
              </w:rPr>
              <w:t>​ ​</w:t>
            </w:r>
            <w:r>
              <w:rPr>
                <w:rFonts w:ascii="Arial" w:cs="Arial" w:eastAsia="Arial" w:hAnsi="Arial"/>
                <w:sz w:val="28"/>
                <w:szCs w:val="28"/>
                <w:color w:val="auto"/>
                <w:vertAlign w:val="subscript"/>
                <w:shd w:val="clear" w:color="auto" w:fill="E5E5E5"/>
              </w:rPr>
              <w:t>​</w:t>
            </w:r>
          </w:p>
        </w:tc>
        <w:tc>
          <w:tcPr>
            <w:tcW w:w="76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14"/>
                <w:szCs w:val="14"/>
                <w:color w:val="auto"/>
                <w:shd w:val="clear" w:color="auto" w:fill="E5E5E5"/>
              </w:rPr>
              <w:t>580,000</w:t>
            </w:r>
            <w:r>
              <w:rPr>
                <w:rFonts w:ascii="Arial" w:cs="Arial" w:eastAsia="Arial" w:hAnsi="Arial"/>
                <w:sz w:val="28"/>
                <w:szCs w:val="28"/>
                <w:color w:val="auto"/>
                <w:vertAlign w:val="superscript"/>
                <w:shd w:val="clear" w:color="auto" w:fill="E5E5E5"/>
              </w:rPr>
              <w:t>​ ​</w:t>
            </w:r>
          </w:p>
        </w:tc>
        <w:tc>
          <w:tcPr>
            <w:tcW w:w="20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14"/>
                <w:szCs w:val="14"/>
                <w:color w:val="auto"/>
                <w:shd w:val="clear" w:color="auto" w:fill="E5E5E5"/>
              </w:rPr>
              <w:t>​ ​</w:t>
            </w:r>
            <w:r>
              <w:rPr>
                <w:rFonts w:ascii="Arial" w:cs="Arial" w:eastAsia="Arial" w:hAnsi="Arial"/>
                <w:sz w:val="28"/>
                <w:szCs w:val="28"/>
                <w:color w:val="auto"/>
                <w:vertAlign w:val="subscript"/>
                <w:shd w:val="clear" w:color="auto" w:fill="E5E5E5"/>
              </w:rPr>
              <w:t>​</w:t>
            </w:r>
          </w:p>
        </w:tc>
        <w:tc>
          <w:tcPr>
            <w:tcW w:w="76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14"/>
                <w:szCs w:val="14"/>
                <w:color w:val="auto"/>
                <w:shd w:val="clear" w:color="auto" w:fill="E5E5E5"/>
              </w:rPr>
              <w:t>870,000</w:t>
            </w:r>
            <w:r>
              <w:rPr>
                <w:rFonts w:ascii="Arial" w:cs="Arial" w:eastAsia="Arial" w:hAnsi="Arial"/>
                <w:sz w:val="28"/>
                <w:szCs w:val="28"/>
                <w:color w:val="auto"/>
                <w:vertAlign w:val="superscript"/>
                <w:shd w:val="clear" w:color="auto" w:fill="E5E5E5"/>
              </w:rPr>
              <w:t>​ ​</w:t>
            </w:r>
          </w:p>
        </w:tc>
        <w:tc>
          <w:tcPr>
            <w:tcW w:w="1040" w:type="dxa"/>
            <w:vAlign w:val="bottom"/>
            <w:tcBorders>
              <w:bottom w:val="single" w:sz="8" w:color="auto"/>
            </w:tcBorders>
            <w:gridSpan w:val="3"/>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shd w:val="clear" w:color="auto" w:fill="E5E5E5"/>
              </w:rPr>
              <w:t>​ ​</w:t>
            </w:r>
            <w:r>
              <w:rPr>
                <w:rFonts w:ascii="Arial" w:cs="Arial" w:eastAsia="Arial" w:hAnsi="Arial"/>
                <w:sz w:val="14"/>
                <w:szCs w:val="14"/>
                <w:color w:val="auto"/>
                <w:shd w:val="clear" w:color="auto" w:fill="E5E5E5"/>
              </w:rPr>
              <w:t>​ 2,000,015</w:t>
            </w:r>
            <w:r>
              <w:rPr>
                <w:rFonts w:ascii="Arial" w:cs="Arial" w:eastAsia="Arial" w:hAnsi="Arial"/>
                <w:sz w:val="28"/>
                <w:szCs w:val="28"/>
                <w:color w:val="auto"/>
                <w:vertAlign w:val="superscript"/>
                <w:shd w:val="clear" w:color="auto" w:fill="E5E5E5"/>
              </w:rPr>
              <w:t>​ ​</w:t>
            </w:r>
          </w:p>
        </w:tc>
        <w:tc>
          <w:tcPr>
            <w:tcW w:w="1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shd w:val="clear" w:color="auto" w:fill="E5E5E5"/>
              </w:rPr>
              <w:t>​</w:t>
            </w:r>
          </w:p>
        </w:tc>
        <w:tc>
          <w:tcPr>
            <w:tcW w:w="1040" w:type="dxa"/>
            <w:vAlign w:val="bottom"/>
            <w:tcBorders>
              <w:bottom w:val="single" w:sz="8" w:color="auto"/>
            </w:tcBorders>
            <w:shd w:val="clear" w:color="auto" w:fill="E5E5E5"/>
          </w:tcPr>
          <w:p>
            <w:pPr>
              <w:jc w:val="center"/>
              <w:spacing w:after="0" w:line="263" w:lineRule="exact"/>
              <w:rPr>
                <w:sz w:val="20"/>
                <w:szCs w:val="20"/>
                <w:color w:val="auto"/>
              </w:rPr>
            </w:pPr>
            <w:r>
              <w:rPr>
                <w:rFonts w:ascii="Arial" w:cs="Arial" w:eastAsia="Arial" w:hAnsi="Arial"/>
                <w:sz w:val="28"/>
                <w:szCs w:val="28"/>
                <w:color w:val="auto"/>
                <w:vertAlign w:val="superscript"/>
                <w:shd w:val="clear" w:color="auto" w:fill="E5E5E5"/>
              </w:rPr>
              <w:t>​</w:t>
            </w:r>
            <w:r>
              <w:rPr>
                <w:rFonts w:ascii="Arial" w:cs="Arial" w:eastAsia="Arial" w:hAnsi="Arial"/>
                <w:sz w:val="14"/>
                <w:szCs w:val="14"/>
                <w:color w:val="auto"/>
                <w:shd w:val="clear" w:color="auto" w:fill="E5E5E5"/>
              </w:rPr>
              <w:t>​ 2,166,375</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shd w:val="clear" w:color="auto" w:fill="E5E5E5"/>
              </w:rPr>
              <w:t>​ ​</w:t>
            </w:r>
          </w:p>
        </w:tc>
        <w:tc>
          <w:tcPr>
            <w:tcW w:w="1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shd w:val="clear" w:color="auto" w:fill="E5E5E5"/>
              </w:rPr>
              <w:t>​</w:t>
            </w:r>
          </w:p>
        </w:tc>
        <w:tc>
          <w:tcPr>
            <w:tcW w:w="300" w:type="dxa"/>
            <w:vAlign w:val="bottom"/>
            <w:tcBorders>
              <w:bottom w:val="single" w:sz="8" w:color="auto"/>
            </w:tcBorders>
            <w:shd w:val="clear" w:color="auto" w:fill="E5E5E5"/>
          </w:tcPr>
          <w:p>
            <w:pPr>
              <w:ind w:left="200"/>
              <w:spacing w:after="0" w:line="263" w:lineRule="exact"/>
              <w:rPr>
                <w:sz w:val="20"/>
                <w:szCs w:val="20"/>
                <w:color w:val="auto"/>
              </w:rPr>
            </w:pPr>
            <w:r>
              <w:rPr>
                <w:rFonts w:ascii="Arial" w:cs="Arial" w:eastAsia="Arial" w:hAnsi="Arial"/>
                <w:sz w:val="14"/>
                <w:szCs w:val="14"/>
                <w:color w:val="auto"/>
                <w:shd w:val="clear" w:color="auto" w:fill="E5E5E5"/>
              </w:rPr>
              <w:t>​</w:t>
            </w:r>
            <w:r>
              <w:rPr>
                <w:rFonts w:ascii="Arial" w:cs="Arial" w:eastAsia="Arial" w:hAnsi="Arial"/>
                <w:sz w:val="28"/>
                <w:szCs w:val="28"/>
                <w:color w:val="auto"/>
                <w:vertAlign w:val="subscript"/>
                <w:shd w:val="clear" w:color="auto" w:fill="E5E5E5"/>
              </w:rPr>
              <w:t>​</w:t>
            </w:r>
          </w:p>
        </w:tc>
        <w:tc>
          <w:tcPr>
            <w:tcW w:w="74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shd w:val="clear" w:color="auto" w:fill="E5E5E5"/>
              </w:rPr>
              <w:t>125,633</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shd w:val="clear" w:color="auto" w:fill="E5E5E5"/>
              </w:rPr>
              <w:t>​ ​</w:t>
            </w:r>
          </w:p>
        </w:tc>
        <w:tc>
          <w:tcPr>
            <w:tcW w:w="980" w:type="dxa"/>
            <w:vAlign w:val="bottom"/>
            <w:tcBorders>
              <w:bottom w:val="single" w:sz="8" w:color="auto"/>
            </w:tcBorders>
            <w:gridSpan w:val="3"/>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shd w:val="clear" w:color="auto" w:fill="E5E5E5"/>
              </w:rPr>
              <w:t>​ ​</w:t>
            </w:r>
            <w:r>
              <w:rPr>
                <w:rFonts w:ascii="Arial" w:cs="Arial" w:eastAsia="Arial" w:hAnsi="Arial"/>
                <w:sz w:val="14"/>
                <w:szCs w:val="14"/>
                <w:color w:val="auto"/>
                <w:shd w:val="clear" w:color="auto" w:fill="E5E5E5"/>
              </w:rPr>
              <w:t>​ 5,742,022</w:t>
            </w:r>
            <w:r>
              <w:rPr>
                <w:rFonts w:ascii="Arial" w:cs="Arial" w:eastAsia="Arial" w:hAnsi="Arial"/>
                <w:sz w:val="28"/>
                <w:szCs w:val="28"/>
                <w:color w:val="auto"/>
                <w:vertAlign w:val="superscript"/>
                <w:shd w:val="clear" w:color="auto" w:fill="E5E5E5"/>
              </w:rPr>
              <w:t>​​</w:t>
            </w:r>
          </w:p>
        </w:tc>
        <w:tc>
          <w:tcPr>
            <w:tcW w:w="0" w:type="dxa"/>
            <w:vAlign w:val="bottom"/>
          </w:tcPr>
          <w:p>
            <w:pPr>
              <w:spacing w:after="0"/>
              <w:rPr>
                <w:sz w:val="1"/>
                <w:szCs w:val="1"/>
                <w:color w:val="auto"/>
              </w:rPr>
            </w:pPr>
          </w:p>
        </w:tc>
      </w:tr>
      <w:tr>
        <w:trPr>
          <w:trHeight w:val="227"/>
        </w:trPr>
        <w:tc>
          <w:tcPr>
            <w:tcW w:w="1900" w:type="dxa"/>
            <w:vAlign w:val="bottom"/>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b w:val="1"/>
                <w:bCs w:val="1"/>
                <w:color w:val="auto"/>
              </w:rPr>
              <w:t>Mark A. Tyndall</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80" w:type="dxa"/>
            <w:vAlign w:val="bottom"/>
          </w:tcPr>
          <w:p>
            <w:pPr>
              <w:jc w:val="right"/>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​2025 </w:t>
            </w:r>
            <w:r>
              <w:rPr>
                <w:rFonts w:ascii="Arial" w:cs="Arial" w:eastAsia="Arial" w:hAnsi="Arial"/>
                <w:sz w:val="26"/>
                <w:szCs w:val="26"/>
                <w:color w:val="auto"/>
                <w:vertAlign w:val="superscript"/>
              </w:rPr>
              <w:t>​ ​</w:t>
            </w:r>
          </w:p>
        </w:tc>
        <w:tc>
          <w:tcPr>
            <w:tcW w:w="200" w:type="dxa"/>
            <w:vAlign w:val="bottom"/>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76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626,423</w:t>
            </w:r>
            <w:r>
              <w:rPr>
                <w:rFonts w:ascii="Arial" w:cs="Arial" w:eastAsia="Arial" w:hAnsi="Arial"/>
                <w:sz w:val="26"/>
                <w:szCs w:val="26"/>
                <w:color w:val="auto"/>
                <w:vertAlign w:val="superscript"/>
              </w:rPr>
              <w:t>​ ​</w:t>
            </w:r>
          </w:p>
        </w:tc>
        <w:tc>
          <w:tcPr>
            <w:tcW w:w="200" w:type="dxa"/>
            <w:vAlign w:val="bottom"/>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420" w:type="dxa"/>
            <w:vAlign w:val="bottom"/>
          </w:tcPr>
          <w:p>
            <w:pPr>
              <w:spacing w:after="0"/>
              <w:rPr>
                <w:sz w:val="19"/>
                <w:szCs w:val="19"/>
                <w:color w:val="auto"/>
              </w:rPr>
            </w:pPr>
          </w:p>
        </w:tc>
        <w:tc>
          <w:tcPr>
            <w:tcW w:w="340" w:type="dxa"/>
            <w:vAlign w:val="bottom"/>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200" w:type="dxa"/>
            <w:vAlign w:val="bottom"/>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500" w:type="dxa"/>
            <w:vAlign w:val="bottom"/>
          </w:tcPr>
          <w:p>
            <w:pPr>
              <w:spacing w:after="0"/>
              <w:rPr>
                <w:sz w:val="19"/>
                <w:szCs w:val="19"/>
                <w:color w:val="auto"/>
              </w:rPr>
            </w:pPr>
          </w:p>
        </w:tc>
        <w:tc>
          <w:tcPr>
            <w:tcW w:w="340" w:type="dxa"/>
            <w:vAlign w:val="bottom"/>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7,351,020</w:t>
            </w:r>
          </w:p>
        </w:tc>
        <w:tc>
          <w:tcPr>
            <w:tcW w:w="20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line="227"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492,831</w:t>
            </w: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tcPr>
          <w:p>
            <w:pPr>
              <w:jc w:val="right"/>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8,470,274</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63"/>
        </w:trPr>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Executive Vice President</w:t>
            </w:r>
          </w:p>
        </w:tc>
        <w:tc>
          <w:tcPr>
            <w:tcW w:w="120" w:type="dxa"/>
            <w:vAlign w:val="bottom"/>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42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7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580" w:type="dxa"/>
            <w:vAlign w:val="bottom"/>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​2024 </w:t>
            </w:r>
            <w:r>
              <w:rPr>
                <w:rFonts w:ascii="Arial" w:cs="Arial" w:eastAsia="Arial" w:hAnsi="Arial"/>
                <w:sz w:val="28"/>
                <w:szCs w:val="28"/>
                <w:color w:val="auto"/>
                <w:vertAlign w:val="superscript"/>
              </w:rPr>
              <w:t>​ ​</w:t>
            </w:r>
          </w:p>
        </w:tc>
        <w:tc>
          <w:tcPr>
            <w:tcW w:w="200" w:type="dxa"/>
            <w:vAlign w:val="bottom"/>
            <w:vMerge w:val="restart"/>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gridSpan w:val="2"/>
            <w:vMerge w:val="restart"/>
          </w:tcPr>
          <w:p>
            <w:pPr>
              <w:jc w:val="right"/>
              <w:spacing w:after="0" w:line="257" w:lineRule="exact"/>
              <w:rPr>
                <w:sz w:val="20"/>
                <w:szCs w:val="20"/>
                <w:color w:val="auto"/>
              </w:rPr>
            </w:pPr>
            <w:r>
              <w:rPr>
                <w:rFonts w:ascii="Arial" w:cs="Arial" w:eastAsia="Arial" w:hAnsi="Arial"/>
                <w:sz w:val="14"/>
                <w:szCs w:val="14"/>
                <w:color w:val="auto"/>
              </w:rPr>
              <w:t>601,923</w:t>
            </w:r>
            <w:r>
              <w:rPr>
                <w:rFonts w:ascii="Arial" w:cs="Arial" w:eastAsia="Arial" w:hAnsi="Arial"/>
                <w:sz w:val="28"/>
                <w:szCs w:val="28"/>
                <w:color w:val="auto"/>
                <w:vertAlign w:val="superscript"/>
              </w:rPr>
              <w:t>​ ​</w:t>
            </w:r>
          </w:p>
        </w:tc>
        <w:tc>
          <w:tcPr>
            <w:tcW w:w="200" w:type="dxa"/>
            <w:vAlign w:val="bottom"/>
            <w:vMerge w:val="restart"/>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420" w:type="dxa"/>
            <w:vAlign w:val="bottom"/>
          </w:tcPr>
          <w:p>
            <w:pPr>
              <w:spacing w:after="0"/>
              <w:rPr>
                <w:sz w:val="9"/>
                <w:szCs w:val="9"/>
                <w:color w:val="auto"/>
              </w:rPr>
            </w:pPr>
          </w:p>
        </w:tc>
        <w:tc>
          <w:tcPr>
            <w:tcW w:w="340" w:type="dxa"/>
            <w:vAlign w:val="bottom"/>
            <w:vMerge w:val="restart"/>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4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2,372,923</w:t>
            </w:r>
            <w:r>
              <w:rPr>
                <w:rFonts w:ascii="Arial" w:cs="Arial" w:eastAsia="Arial" w:hAnsi="Arial"/>
                <w:sz w:val="28"/>
                <w:szCs w:val="28"/>
                <w:color w:val="auto"/>
                <w:vertAlign w:val="superscript"/>
              </w:rPr>
              <w:t>​ ​</w:t>
            </w:r>
          </w:p>
        </w:tc>
        <w:tc>
          <w:tcPr>
            <w:tcW w:w="1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1,694,196</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20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163,570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4,832,613</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58"/>
        </w:trPr>
        <w:tc>
          <w:tcPr>
            <w:tcW w:w="1900" w:type="dxa"/>
            <w:vAlign w:val="bottom"/>
          </w:tcPr>
          <w:p>
            <w:pPr>
              <w:ind w:left="120"/>
              <w:spacing w:after="0" w:line="158" w:lineRule="exact"/>
              <w:rPr>
                <w:sz w:val="20"/>
                <w:szCs w:val="20"/>
                <w:color w:val="auto"/>
              </w:rPr>
            </w:pPr>
            <w:r>
              <w:rPr>
                <w:rFonts w:ascii="Arial" w:cs="Arial" w:eastAsia="Arial" w:hAnsi="Arial"/>
                <w:sz w:val="14"/>
                <w:szCs w:val="14"/>
                <w:color w:val="auto"/>
              </w:rPr>
              <w:t>and Chief Legal Officer and</w:t>
            </w:r>
          </w:p>
        </w:tc>
        <w:tc>
          <w:tcPr>
            <w:tcW w:w="120" w:type="dxa"/>
            <w:vAlign w:val="bottom"/>
          </w:tcPr>
          <w:p>
            <w:pPr>
              <w:spacing w:after="0"/>
              <w:rPr>
                <w:sz w:val="13"/>
                <w:szCs w:val="13"/>
                <w:color w:val="auto"/>
              </w:rPr>
            </w:pPr>
          </w:p>
        </w:tc>
        <w:tc>
          <w:tcPr>
            <w:tcW w:w="140" w:type="dxa"/>
            <w:vAlign w:val="bottom"/>
            <w:tcBorders>
              <w:bottom w:val="single" w:sz="8" w:color="7F7F7F"/>
            </w:tcBorders>
            <w:vMerge w:val="continue"/>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580" w:type="dxa"/>
            <w:vAlign w:val="bottom"/>
            <w:tcBorders>
              <w:bottom w:val="single" w:sz="8" w:color="7F7F7F"/>
            </w:tcBorders>
            <w:vMerge w:val="continue"/>
          </w:tcPr>
          <w:p>
            <w:pPr>
              <w:spacing w:after="0"/>
              <w:rPr>
                <w:sz w:val="13"/>
                <w:szCs w:val="13"/>
                <w:color w:val="auto"/>
              </w:rPr>
            </w:pPr>
          </w:p>
        </w:tc>
        <w:tc>
          <w:tcPr>
            <w:tcW w:w="200" w:type="dxa"/>
            <w:vAlign w:val="bottom"/>
            <w:tcBorders>
              <w:bottom w:val="single" w:sz="8" w:color="7F7F7F"/>
            </w:tcBorders>
            <w:vMerge w:val="continue"/>
          </w:tcPr>
          <w:p>
            <w:pPr>
              <w:spacing w:after="0"/>
              <w:rPr>
                <w:sz w:val="13"/>
                <w:szCs w:val="13"/>
                <w:color w:val="auto"/>
              </w:rPr>
            </w:pPr>
          </w:p>
        </w:tc>
        <w:tc>
          <w:tcPr>
            <w:tcW w:w="760" w:type="dxa"/>
            <w:vAlign w:val="bottom"/>
            <w:tcBorders>
              <w:bottom w:val="single" w:sz="8" w:color="7F7F7F"/>
            </w:tcBorders>
            <w:gridSpan w:val="2"/>
            <w:vMerge w:val="continue"/>
          </w:tcPr>
          <w:p>
            <w:pPr>
              <w:spacing w:after="0"/>
              <w:rPr>
                <w:sz w:val="13"/>
                <w:szCs w:val="13"/>
                <w:color w:val="auto"/>
              </w:rPr>
            </w:pPr>
          </w:p>
        </w:tc>
        <w:tc>
          <w:tcPr>
            <w:tcW w:w="200" w:type="dxa"/>
            <w:vAlign w:val="bottom"/>
            <w:tcBorders>
              <w:bottom w:val="single" w:sz="8" w:color="7F7F7F"/>
            </w:tcBorders>
            <w:vMerge w:val="continue"/>
          </w:tcPr>
          <w:p>
            <w:pPr>
              <w:spacing w:after="0"/>
              <w:rPr>
                <w:sz w:val="13"/>
                <w:szCs w:val="13"/>
                <w:color w:val="auto"/>
              </w:rPr>
            </w:pPr>
          </w:p>
        </w:tc>
        <w:tc>
          <w:tcPr>
            <w:tcW w:w="420" w:type="dxa"/>
            <w:vAlign w:val="bottom"/>
            <w:tcBorders>
              <w:bottom w:val="single" w:sz="8" w:color="7F7F7F"/>
            </w:tcBorders>
          </w:tcPr>
          <w:p>
            <w:pPr>
              <w:spacing w:after="0"/>
              <w:rPr>
                <w:sz w:val="13"/>
                <w:szCs w:val="13"/>
                <w:color w:val="auto"/>
              </w:rPr>
            </w:pPr>
          </w:p>
        </w:tc>
        <w:tc>
          <w:tcPr>
            <w:tcW w:w="340" w:type="dxa"/>
            <w:vAlign w:val="bottom"/>
            <w:tcBorders>
              <w:bottom w:val="single" w:sz="8" w:color="7F7F7F"/>
            </w:tcBorders>
            <w:vMerge w:val="continue"/>
          </w:tcPr>
          <w:p>
            <w:pPr>
              <w:spacing w:after="0"/>
              <w:rPr>
                <w:sz w:val="13"/>
                <w:szCs w:val="13"/>
                <w:color w:val="auto"/>
              </w:rPr>
            </w:pPr>
          </w:p>
        </w:tc>
        <w:tc>
          <w:tcPr>
            <w:tcW w:w="1040" w:type="dxa"/>
            <w:vAlign w:val="bottom"/>
            <w:tcBorders>
              <w:bottom w:val="single" w:sz="8" w:color="7F7F7F"/>
            </w:tcBorders>
            <w:gridSpan w:val="3"/>
            <w:vMerge w:val="continue"/>
          </w:tcPr>
          <w:p>
            <w:pPr>
              <w:spacing w:after="0"/>
              <w:rPr>
                <w:sz w:val="13"/>
                <w:szCs w:val="13"/>
                <w:color w:val="auto"/>
              </w:rPr>
            </w:pPr>
          </w:p>
        </w:tc>
        <w:tc>
          <w:tcPr>
            <w:tcW w:w="100" w:type="dxa"/>
            <w:vAlign w:val="bottom"/>
            <w:tcBorders>
              <w:bottom w:val="single" w:sz="8" w:color="7F7F7F"/>
            </w:tcBorders>
            <w:vMerge w:val="continue"/>
          </w:tcPr>
          <w:p>
            <w:pPr>
              <w:spacing w:after="0"/>
              <w:rPr>
                <w:sz w:val="13"/>
                <w:szCs w:val="13"/>
                <w:color w:val="auto"/>
              </w:rPr>
            </w:pPr>
          </w:p>
        </w:tc>
        <w:tc>
          <w:tcPr>
            <w:tcW w:w="1040" w:type="dxa"/>
            <w:vAlign w:val="bottom"/>
            <w:tcBorders>
              <w:bottom w:val="single" w:sz="8" w:color="7F7F7F"/>
            </w:tcBorders>
            <w:vMerge w:val="continue"/>
          </w:tcPr>
          <w:p>
            <w:pPr>
              <w:spacing w:after="0"/>
              <w:rPr>
                <w:sz w:val="13"/>
                <w:szCs w:val="13"/>
                <w:color w:val="auto"/>
              </w:rPr>
            </w:pPr>
          </w:p>
        </w:tc>
        <w:tc>
          <w:tcPr>
            <w:tcW w:w="200" w:type="dxa"/>
            <w:vAlign w:val="bottom"/>
            <w:tcBorders>
              <w:bottom w:val="single" w:sz="8" w:color="7F7F7F"/>
            </w:tcBorders>
            <w:vMerge w:val="continue"/>
          </w:tcPr>
          <w:p>
            <w:pPr>
              <w:spacing w:after="0"/>
              <w:rPr>
                <w:sz w:val="13"/>
                <w:szCs w:val="13"/>
                <w:color w:val="auto"/>
              </w:rPr>
            </w:pPr>
          </w:p>
        </w:tc>
        <w:tc>
          <w:tcPr>
            <w:tcW w:w="100" w:type="dxa"/>
            <w:vAlign w:val="bottom"/>
            <w:tcBorders>
              <w:bottom w:val="single" w:sz="8" w:color="7F7F7F"/>
            </w:tcBorders>
            <w:vMerge w:val="continue"/>
          </w:tcPr>
          <w:p>
            <w:pPr>
              <w:spacing w:after="0"/>
              <w:rPr>
                <w:sz w:val="13"/>
                <w:szCs w:val="13"/>
                <w:color w:val="auto"/>
              </w:rPr>
            </w:pPr>
          </w:p>
        </w:tc>
        <w:tc>
          <w:tcPr>
            <w:tcW w:w="300" w:type="dxa"/>
            <w:vAlign w:val="bottom"/>
            <w:tcBorders>
              <w:bottom w:val="single" w:sz="8" w:color="7F7F7F"/>
            </w:tcBorders>
            <w:vMerge w:val="continue"/>
          </w:tcPr>
          <w:p>
            <w:pPr>
              <w:spacing w:after="0"/>
              <w:rPr>
                <w:sz w:val="13"/>
                <w:szCs w:val="13"/>
                <w:color w:val="auto"/>
              </w:rPr>
            </w:pPr>
          </w:p>
        </w:tc>
        <w:tc>
          <w:tcPr>
            <w:tcW w:w="740" w:type="dxa"/>
            <w:vAlign w:val="bottom"/>
            <w:tcBorders>
              <w:bottom w:val="single" w:sz="8" w:color="7F7F7F"/>
            </w:tcBorders>
            <w:vMerge w:val="continue"/>
          </w:tcPr>
          <w:p>
            <w:pPr>
              <w:spacing w:after="0"/>
              <w:rPr>
                <w:sz w:val="13"/>
                <w:szCs w:val="13"/>
                <w:color w:val="auto"/>
              </w:rPr>
            </w:pPr>
          </w:p>
        </w:tc>
        <w:tc>
          <w:tcPr>
            <w:tcW w:w="180" w:type="dxa"/>
            <w:vAlign w:val="bottom"/>
            <w:tcBorders>
              <w:bottom w:val="single" w:sz="8" w:color="7F7F7F"/>
            </w:tcBorders>
            <w:vMerge w:val="continue"/>
          </w:tcPr>
          <w:p>
            <w:pPr>
              <w:spacing w:after="0"/>
              <w:rPr>
                <w:sz w:val="13"/>
                <w:szCs w:val="13"/>
                <w:color w:val="auto"/>
              </w:rPr>
            </w:pPr>
          </w:p>
        </w:tc>
        <w:tc>
          <w:tcPr>
            <w:tcW w:w="980" w:type="dxa"/>
            <w:vAlign w:val="bottom"/>
            <w:tcBorders>
              <w:bottom w:val="single" w:sz="8" w:color="7F7F7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Corporate Secretary</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​2023 </w:t>
            </w:r>
            <w:r>
              <w:rPr>
                <w:rFonts w:ascii="Arial" w:cs="Arial" w:eastAsia="Arial" w:hAnsi="Arial"/>
                <w:sz w:val="28"/>
                <w:szCs w:val="28"/>
                <w:color w:val="auto"/>
                <w:vertAlign w:val="superscript"/>
              </w:rPr>
              <w:t>​ ​</w:t>
            </w:r>
          </w:p>
        </w:tc>
        <w:tc>
          <w:tcPr>
            <w:tcW w:w="20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tcBorders>
              <w:bottom w:val="single" w:sz="8" w:color="auto"/>
            </w:tcBorders>
            <w:gridSpan w:val="2"/>
          </w:tcPr>
          <w:p>
            <w:pPr>
              <w:jc w:val="right"/>
              <w:spacing w:after="0" w:line="263" w:lineRule="exact"/>
              <w:rPr>
                <w:sz w:val="20"/>
                <w:szCs w:val="20"/>
                <w:color w:val="auto"/>
              </w:rPr>
            </w:pPr>
            <w:r>
              <w:rPr>
                <w:rFonts w:ascii="Arial" w:cs="Arial" w:eastAsia="Arial" w:hAnsi="Arial"/>
                <w:sz w:val="14"/>
                <w:szCs w:val="14"/>
                <w:color w:val="auto"/>
              </w:rPr>
              <w:t>575,000</w:t>
            </w:r>
            <w:r>
              <w:rPr>
                <w:rFonts w:ascii="Arial" w:cs="Arial" w:eastAsia="Arial" w:hAnsi="Arial"/>
                <w:sz w:val="28"/>
                <w:szCs w:val="28"/>
                <w:color w:val="auto"/>
                <w:vertAlign w:val="superscript"/>
              </w:rPr>
              <w:t>​ ​</w:t>
            </w:r>
          </w:p>
        </w:tc>
        <w:tc>
          <w:tcPr>
            <w:tcW w:w="20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tcBorders>
              <w:bottom w:val="single" w:sz="8" w:color="auto"/>
            </w:tcBorders>
            <w:gridSpan w:val="2"/>
          </w:tcPr>
          <w:p>
            <w:pPr>
              <w:jc w:val="right"/>
              <w:spacing w:after="0" w:line="263" w:lineRule="exact"/>
              <w:rPr>
                <w:sz w:val="20"/>
                <w:szCs w:val="20"/>
                <w:color w:val="auto"/>
              </w:rPr>
            </w:pPr>
            <w:r>
              <w:rPr>
                <w:rFonts w:ascii="Arial" w:cs="Arial" w:eastAsia="Arial" w:hAnsi="Arial"/>
                <w:sz w:val="14"/>
                <w:szCs w:val="14"/>
                <w:color w:val="auto"/>
              </w:rPr>
              <w:t>862,500</w:t>
            </w:r>
            <w:r>
              <w:rPr>
                <w:rFonts w:ascii="Arial" w:cs="Arial" w:eastAsia="Arial" w:hAnsi="Arial"/>
                <w:sz w:val="28"/>
                <w:szCs w:val="28"/>
                <w:color w:val="auto"/>
                <w:vertAlign w:val="superscript"/>
              </w:rPr>
              <w:t>​ ​</w:t>
            </w:r>
          </w:p>
        </w:tc>
        <w:tc>
          <w:tcPr>
            <w:tcW w:w="104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1,700,015</w:t>
            </w:r>
            <w:r>
              <w:rPr>
                <w:rFonts w:ascii="Arial" w:cs="Arial" w:eastAsia="Arial" w:hAnsi="Arial"/>
                <w:sz w:val="28"/>
                <w:szCs w:val="28"/>
                <w:color w:val="auto"/>
                <w:vertAlign w:val="superscript"/>
              </w:rPr>
              <w:t>​ ​</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1,922,906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0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125,524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5,185,946</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27"/>
        </w:trPr>
        <w:tc>
          <w:tcPr>
            <w:tcW w:w="1900" w:type="dxa"/>
            <w:vAlign w:val="bottom"/>
            <w:shd w:val="clear" w:color="auto" w:fill="E5E5E5"/>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b w:val="1"/>
                <w:bCs w:val="1"/>
                <w:color w:val="auto"/>
              </w:rPr>
              <w:t>Bryan M. Reasons</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​2025 </w:t>
            </w:r>
            <w:r>
              <w:rPr>
                <w:rFonts w:ascii="Arial" w:cs="Arial" w:eastAsia="Arial" w:hAnsi="Arial"/>
                <w:sz w:val="26"/>
                <w:szCs w:val="26"/>
                <w:color w:val="auto"/>
                <w:vertAlign w:val="superscript"/>
              </w:rPr>
              <w:t>​ ​</w:t>
            </w:r>
          </w:p>
        </w:tc>
        <w:tc>
          <w:tcPr>
            <w:tcW w:w="200" w:type="dxa"/>
            <w:vAlign w:val="bottom"/>
            <w:shd w:val="clear" w:color="auto" w:fill="E5E5E5"/>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760" w:type="dxa"/>
            <w:vAlign w:val="bottom"/>
            <w:gridSpan w:val="2"/>
            <w:shd w:val="clear" w:color="auto" w:fill="E5E5E5"/>
          </w:tcPr>
          <w:p>
            <w:pPr>
              <w:jc w:val="right"/>
              <w:spacing w:after="0" w:line="227" w:lineRule="exact"/>
              <w:rPr>
                <w:sz w:val="20"/>
                <w:szCs w:val="20"/>
                <w:color w:val="auto"/>
              </w:rPr>
            </w:pPr>
            <w:r>
              <w:rPr>
                <w:rFonts w:ascii="Arial" w:cs="Arial" w:eastAsia="Arial" w:hAnsi="Arial"/>
                <w:sz w:val="14"/>
                <w:szCs w:val="14"/>
                <w:color w:val="auto"/>
              </w:rPr>
              <w:t>506,079</w:t>
            </w:r>
            <w:r>
              <w:rPr>
                <w:rFonts w:ascii="Arial" w:cs="Arial" w:eastAsia="Arial" w:hAnsi="Arial"/>
                <w:sz w:val="26"/>
                <w:szCs w:val="26"/>
                <w:color w:val="auto"/>
                <w:vertAlign w:val="superscript"/>
              </w:rPr>
              <w:t>​ ​</w:t>
            </w:r>
          </w:p>
        </w:tc>
        <w:tc>
          <w:tcPr>
            <w:tcW w:w="200" w:type="dxa"/>
            <w:vAlign w:val="bottom"/>
            <w:shd w:val="clear" w:color="auto" w:fill="E5E5E5"/>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420" w:type="dxa"/>
            <w:vAlign w:val="bottom"/>
            <w:shd w:val="clear" w:color="auto" w:fill="E5E5E5"/>
          </w:tcPr>
          <w:p>
            <w:pPr>
              <w:spacing w:after="0"/>
              <w:rPr>
                <w:sz w:val="19"/>
                <w:szCs w:val="19"/>
                <w:color w:val="auto"/>
              </w:rPr>
            </w:pPr>
          </w:p>
        </w:tc>
        <w:tc>
          <w:tcPr>
            <w:tcW w:w="340" w:type="dxa"/>
            <w:vAlign w:val="bottom"/>
            <w:shd w:val="clear" w:color="auto" w:fill="E5E5E5"/>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200" w:type="dxa"/>
            <w:vAlign w:val="bottom"/>
            <w:shd w:val="clear" w:color="auto" w:fill="E5E5E5"/>
          </w:tcPr>
          <w:p>
            <w:pPr>
              <w:ind w:left="60"/>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840" w:type="dxa"/>
            <w:vAlign w:val="bottom"/>
            <w:gridSpan w:val="2"/>
            <w:shd w:val="clear" w:color="auto" w:fill="E5E5E5"/>
          </w:tcPr>
          <w:p>
            <w:pPr>
              <w:jc w:val="right"/>
              <w:spacing w:after="0" w:line="227" w:lineRule="exact"/>
              <w:rPr>
                <w:sz w:val="20"/>
                <w:szCs w:val="20"/>
                <w:color w:val="auto"/>
              </w:rPr>
            </w:pPr>
            <w:r>
              <w:rPr>
                <w:rFonts w:ascii="Arial" w:cs="Arial" w:eastAsia="Arial" w:hAnsi="Arial"/>
                <w:sz w:val="14"/>
                <w:szCs w:val="14"/>
                <w:color w:val="auto"/>
              </w:rPr>
              <w:t>213,718</w:t>
            </w:r>
            <w:r>
              <w:rPr>
                <w:rFonts w:ascii="Arial" w:cs="Arial" w:eastAsia="Arial" w:hAnsi="Arial"/>
                <w:sz w:val="26"/>
                <w:szCs w:val="26"/>
                <w:color w:val="auto"/>
                <w:vertAlign w:val="superscript"/>
              </w:rPr>
              <w:t>​ ​</w:t>
            </w:r>
          </w:p>
        </w:tc>
        <w:tc>
          <w:tcPr>
            <w:tcW w:w="10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8,134,616</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E5E5E5"/>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5E5"/>
          </w:tcPr>
          <w:p>
            <w:pPr>
              <w:jc w:val="right"/>
              <w:ind w:right="108"/>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​1,263,780</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shd w:val="clear" w:color="auto" w:fill="E5E5E5"/>
          </w:tcPr>
          <w:p>
            <w:pPr>
              <w:jc w:val="right"/>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​10,118,193</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63"/>
        </w:trPr>
        <w:tc>
          <w:tcPr>
            <w:tcW w:w="1900" w:type="dxa"/>
            <w:vAlign w:val="bottom"/>
            <w:tcBorders>
              <w:bottom w:val="single" w:sz="8" w:color="E5E5E5"/>
            </w:tcBorders>
            <w:vMerge w:val="restart"/>
            <w:shd w:val="clear" w:color="auto" w:fill="E5E5E5"/>
          </w:tcPr>
          <w:p>
            <w:pPr>
              <w:ind w:left="120"/>
              <w:spacing w:after="0"/>
              <w:rPr>
                <w:sz w:val="20"/>
                <w:szCs w:val="20"/>
                <w:color w:val="auto"/>
              </w:rPr>
            </w:pPr>
            <w:r>
              <w:rPr>
                <w:rFonts w:ascii="Arial" w:cs="Arial" w:eastAsia="Arial" w:hAnsi="Arial"/>
                <w:sz w:val="14"/>
                <w:szCs w:val="14"/>
                <w:color w:val="auto"/>
              </w:rPr>
              <w:t>Former Executive Vice</w:t>
            </w:r>
          </w:p>
        </w:tc>
        <w:tc>
          <w:tcPr>
            <w:tcW w:w="120" w:type="dxa"/>
            <w:vAlign w:val="bottom"/>
            <w:tcBorders>
              <w:bottom w:val="single" w:sz="8" w:color="E5E5E5"/>
            </w:tcBorders>
            <w:shd w:val="clear" w:color="auto" w:fill="E5E5E5"/>
          </w:tcPr>
          <w:p>
            <w:pPr>
              <w:spacing w:after="0"/>
              <w:rPr>
                <w:sz w:val="5"/>
                <w:szCs w:val="5"/>
                <w:color w:val="auto"/>
              </w:rPr>
            </w:pPr>
          </w:p>
        </w:tc>
        <w:tc>
          <w:tcPr>
            <w:tcW w:w="140" w:type="dxa"/>
            <w:vAlign w:val="bottom"/>
            <w:tcBorders>
              <w:bottom w:val="single" w:sz="8" w:color="7F7F7F"/>
            </w:tcBorders>
            <w:shd w:val="clear" w:color="auto" w:fill="E5E5E5"/>
          </w:tcPr>
          <w:p>
            <w:pPr>
              <w:spacing w:after="0"/>
              <w:rPr>
                <w:sz w:val="5"/>
                <w:szCs w:val="5"/>
                <w:color w:val="auto"/>
              </w:rPr>
            </w:pPr>
          </w:p>
        </w:tc>
        <w:tc>
          <w:tcPr>
            <w:tcW w:w="60" w:type="dxa"/>
            <w:vAlign w:val="bottom"/>
            <w:tcBorders>
              <w:bottom w:val="single" w:sz="8" w:color="7F7F7F"/>
            </w:tcBorders>
            <w:shd w:val="clear" w:color="auto" w:fill="E5E5E5"/>
          </w:tcPr>
          <w:p>
            <w:pPr>
              <w:spacing w:after="0"/>
              <w:rPr>
                <w:sz w:val="5"/>
                <w:szCs w:val="5"/>
                <w:color w:val="auto"/>
              </w:rPr>
            </w:pPr>
          </w:p>
        </w:tc>
        <w:tc>
          <w:tcPr>
            <w:tcW w:w="58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56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420" w:type="dxa"/>
            <w:vAlign w:val="bottom"/>
            <w:tcBorders>
              <w:bottom w:val="single" w:sz="8" w:color="7F7F7F"/>
            </w:tcBorders>
            <w:shd w:val="clear" w:color="auto" w:fill="E5E5E5"/>
          </w:tcPr>
          <w:p>
            <w:pPr>
              <w:spacing w:after="0"/>
              <w:rPr>
                <w:sz w:val="5"/>
                <w:szCs w:val="5"/>
                <w:color w:val="auto"/>
              </w:rPr>
            </w:pPr>
          </w:p>
        </w:tc>
        <w:tc>
          <w:tcPr>
            <w:tcW w:w="34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500" w:type="dxa"/>
            <w:vAlign w:val="bottom"/>
            <w:tcBorders>
              <w:bottom w:val="single" w:sz="8" w:color="7F7F7F"/>
            </w:tcBorders>
            <w:shd w:val="clear" w:color="auto" w:fill="E5E5E5"/>
          </w:tcPr>
          <w:p>
            <w:pPr>
              <w:spacing w:after="0"/>
              <w:rPr>
                <w:sz w:val="5"/>
                <w:szCs w:val="5"/>
                <w:color w:val="auto"/>
              </w:rPr>
            </w:pPr>
          </w:p>
        </w:tc>
        <w:tc>
          <w:tcPr>
            <w:tcW w:w="340" w:type="dxa"/>
            <w:vAlign w:val="bottom"/>
            <w:tcBorders>
              <w:bottom w:val="single" w:sz="8" w:color="7F7F7F"/>
            </w:tcBorders>
            <w:shd w:val="clear" w:color="auto" w:fill="E5E5E5"/>
          </w:tcPr>
          <w:p>
            <w:pPr>
              <w:spacing w:after="0"/>
              <w:rPr>
                <w:sz w:val="5"/>
                <w:szCs w:val="5"/>
                <w:color w:val="auto"/>
              </w:rPr>
            </w:pPr>
          </w:p>
        </w:tc>
        <w:tc>
          <w:tcPr>
            <w:tcW w:w="100" w:type="dxa"/>
            <w:vAlign w:val="bottom"/>
            <w:tcBorders>
              <w:bottom w:val="single" w:sz="8" w:color="7F7F7F"/>
            </w:tcBorders>
            <w:shd w:val="clear" w:color="auto" w:fill="E5E5E5"/>
          </w:tcPr>
          <w:p>
            <w:pPr>
              <w:spacing w:after="0"/>
              <w:rPr>
                <w:sz w:val="5"/>
                <w:szCs w:val="5"/>
                <w:color w:val="auto"/>
              </w:rPr>
            </w:pPr>
          </w:p>
        </w:tc>
        <w:tc>
          <w:tcPr>
            <w:tcW w:w="1040" w:type="dxa"/>
            <w:vAlign w:val="bottom"/>
            <w:tcBorders>
              <w:bottom w:val="single" w:sz="8" w:color="7F7F7F"/>
            </w:tcBorders>
            <w:shd w:val="clear" w:color="auto" w:fill="E5E5E5"/>
          </w:tcPr>
          <w:p>
            <w:pPr>
              <w:spacing w:after="0"/>
              <w:rPr>
                <w:sz w:val="5"/>
                <w:szCs w:val="5"/>
                <w:color w:val="auto"/>
              </w:rPr>
            </w:pPr>
          </w:p>
        </w:tc>
        <w:tc>
          <w:tcPr>
            <w:tcW w:w="200" w:type="dxa"/>
            <w:vAlign w:val="bottom"/>
            <w:tcBorders>
              <w:bottom w:val="single" w:sz="8" w:color="7F7F7F"/>
            </w:tcBorders>
            <w:shd w:val="clear" w:color="auto" w:fill="E5E5E5"/>
          </w:tcPr>
          <w:p>
            <w:pPr>
              <w:spacing w:after="0"/>
              <w:rPr>
                <w:sz w:val="5"/>
                <w:szCs w:val="5"/>
                <w:color w:val="auto"/>
              </w:rPr>
            </w:pPr>
          </w:p>
        </w:tc>
        <w:tc>
          <w:tcPr>
            <w:tcW w:w="100" w:type="dxa"/>
            <w:vAlign w:val="bottom"/>
            <w:tcBorders>
              <w:bottom w:val="single" w:sz="8" w:color="7F7F7F"/>
            </w:tcBorders>
            <w:shd w:val="clear" w:color="auto" w:fill="E5E5E5"/>
          </w:tcPr>
          <w:p>
            <w:pPr>
              <w:spacing w:after="0"/>
              <w:rPr>
                <w:sz w:val="5"/>
                <w:szCs w:val="5"/>
                <w:color w:val="auto"/>
              </w:rPr>
            </w:pPr>
          </w:p>
        </w:tc>
        <w:tc>
          <w:tcPr>
            <w:tcW w:w="300" w:type="dxa"/>
            <w:vAlign w:val="bottom"/>
            <w:tcBorders>
              <w:bottom w:val="single" w:sz="8" w:color="7F7F7F"/>
            </w:tcBorders>
            <w:shd w:val="clear" w:color="auto" w:fill="E5E5E5"/>
          </w:tcPr>
          <w:p>
            <w:pPr>
              <w:spacing w:after="0"/>
              <w:rPr>
                <w:sz w:val="5"/>
                <w:szCs w:val="5"/>
                <w:color w:val="auto"/>
              </w:rPr>
            </w:pPr>
          </w:p>
        </w:tc>
        <w:tc>
          <w:tcPr>
            <w:tcW w:w="740" w:type="dxa"/>
            <w:vAlign w:val="bottom"/>
            <w:tcBorders>
              <w:bottom w:val="single" w:sz="8" w:color="7F7F7F"/>
            </w:tcBorders>
            <w:shd w:val="clear" w:color="auto" w:fill="E5E5E5"/>
          </w:tcPr>
          <w:p>
            <w:pPr>
              <w:spacing w:after="0"/>
              <w:rPr>
                <w:sz w:val="5"/>
                <w:szCs w:val="5"/>
                <w:color w:val="auto"/>
              </w:rPr>
            </w:pPr>
          </w:p>
        </w:tc>
        <w:tc>
          <w:tcPr>
            <w:tcW w:w="180" w:type="dxa"/>
            <w:vAlign w:val="bottom"/>
            <w:tcBorders>
              <w:bottom w:val="single" w:sz="8" w:color="7F7F7F"/>
            </w:tcBorders>
            <w:shd w:val="clear" w:color="auto" w:fill="E5E5E5"/>
          </w:tcPr>
          <w:p>
            <w:pPr>
              <w:spacing w:after="0"/>
              <w:rPr>
                <w:sz w:val="5"/>
                <w:szCs w:val="5"/>
                <w:color w:val="auto"/>
              </w:rPr>
            </w:pPr>
          </w:p>
        </w:tc>
        <w:tc>
          <w:tcPr>
            <w:tcW w:w="220" w:type="dxa"/>
            <w:vAlign w:val="bottom"/>
            <w:tcBorders>
              <w:bottom w:val="single" w:sz="8" w:color="7F7F7F"/>
            </w:tcBorders>
            <w:shd w:val="clear" w:color="auto" w:fill="E5E5E5"/>
          </w:tcPr>
          <w:p>
            <w:pPr>
              <w:spacing w:after="0"/>
              <w:rPr>
                <w:sz w:val="5"/>
                <w:szCs w:val="5"/>
                <w:color w:val="auto"/>
              </w:rPr>
            </w:pPr>
          </w:p>
        </w:tc>
        <w:tc>
          <w:tcPr>
            <w:tcW w:w="580" w:type="dxa"/>
            <w:vAlign w:val="bottom"/>
            <w:tcBorders>
              <w:bottom w:val="single" w:sz="8" w:color="7F7F7F"/>
            </w:tcBorders>
            <w:shd w:val="clear" w:color="auto" w:fill="E5E5E5"/>
          </w:tcPr>
          <w:p>
            <w:pPr>
              <w:spacing w:after="0"/>
              <w:rPr>
                <w:sz w:val="5"/>
                <w:szCs w:val="5"/>
                <w:color w:val="auto"/>
              </w:rPr>
            </w:pPr>
          </w:p>
        </w:tc>
        <w:tc>
          <w:tcPr>
            <w:tcW w:w="180" w:type="dxa"/>
            <w:vAlign w:val="bottom"/>
            <w:tcBorders>
              <w:bottom w:val="single" w:sz="8" w:color="7F7F7F"/>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900" w:type="dxa"/>
            <w:vAlign w:val="bottom"/>
            <w:vMerge w:val="continue"/>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40" w:type="dxa"/>
            <w:vAlign w:val="bottom"/>
            <w:vMerge w:val="restart"/>
            <w:shd w:val="clear" w:color="auto" w:fill="E5E5E5"/>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9"/>
                <w:szCs w:val="9"/>
                <w:color w:val="auto"/>
              </w:rPr>
            </w:pPr>
          </w:p>
        </w:tc>
        <w:tc>
          <w:tcPr>
            <w:tcW w:w="580" w:type="dxa"/>
            <w:vAlign w:val="bottom"/>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​2024 </w:t>
            </w:r>
            <w:r>
              <w:rPr>
                <w:rFonts w:ascii="Arial" w:cs="Arial" w:eastAsia="Arial" w:hAnsi="Arial"/>
                <w:sz w:val="28"/>
                <w:szCs w:val="28"/>
                <w:color w:val="auto"/>
                <w:vertAlign w:val="superscript"/>
              </w:rPr>
              <w:t>​ ​</w:t>
            </w:r>
          </w:p>
        </w:tc>
        <w:tc>
          <w:tcPr>
            <w:tcW w:w="200" w:type="dxa"/>
            <w:vAlign w:val="bottom"/>
            <w:vMerge w:val="restart"/>
            <w:shd w:val="clear" w:color="auto" w:fill="E5E5E5"/>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gridSpan w:val="2"/>
            <w:vMerge w:val="restart"/>
            <w:shd w:val="clear" w:color="auto" w:fill="E5E5E5"/>
          </w:tcPr>
          <w:p>
            <w:pPr>
              <w:jc w:val="right"/>
              <w:spacing w:after="0" w:line="257" w:lineRule="exact"/>
              <w:rPr>
                <w:sz w:val="20"/>
                <w:szCs w:val="20"/>
                <w:color w:val="auto"/>
              </w:rPr>
            </w:pPr>
            <w:r>
              <w:rPr>
                <w:rFonts w:ascii="Arial" w:cs="Arial" w:eastAsia="Arial" w:hAnsi="Arial"/>
                <w:sz w:val="14"/>
                <w:szCs w:val="14"/>
                <w:color w:val="auto"/>
              </w:rPr>
              <w:t>646,962</w:t>
            </w:r>
            <w:r>
              <w:rPr>
                <w:rFonts w:ascii="Arial" w:cs="Arial" w:eastAsia="Arial" w:hAnsi="Arial"/>
                <w:sz w:val="28"/>
                <w:szCs w:val="28"/>
                <w:color w:val="auto"/>
                <w:vertAlign w:val="superscript"/>
              </w:rPr>
              <w:t>​ ​</w:t>
            </w:r>
          </w:p>
        </w:tc>
        <w:tc>
          <w:tcPr>
            <w:tcW w:w="200" w:type="dxa"/>
            <w:vAlign w:val="bottom"/>
            <w:vMerge w:val="restart"/>
            <w:shd w:val="clear" w:color="auto" w:fill="E5E5E5"/>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420" w:type="dxa"/>
            <w:vAlign w:val="bottom"/>
            <w:shd w:val="clear" w:color="auto" w:fill="E5E5E5"/>
          </w:tcPr>
          <w:p>
            <w:pPr>
              <w:spacing w:after="0"/>
              <w:rPr>
                <w:sz w:val="9"/>
                <w:szCs w:val="9"/>
                <w:color w:val="auto"/>
              </w:rPr>
            </w:pPr>
          </w:p>
        </w:tc>
        <w:tc>
          <w:tcPr>
            <w:tcW w:w="340" w:type="dxa"/>
            <w:vAlign w:val="bottom"/>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40" w:type="dxa"/>
            <w:vAlign w:val="bottom"/>
            <w:gridSpan w:val="3"/>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2,966,191</w:t>
            </w:r>
            <w:r>
              <w:rPr>
                <w:rFonts w:ascii="Arial" w:cs="Arial" w:eastAsia="Arial" w:hAnsi="Arial"/>
                <w:sz w:val="28"/>
                <w:szCs w:val="28"/>
                <w:color w:val="auto"/>
                <w:vertAlign w:val="superscript"/>
              </w:rPr>
              <w:t>​ ​</w:t>
            </w:r>
          </w:p>
        </w:tc>
        <w:tc>
          <w:tcPr>
            <w:tcW w:w="100" w:type="dxa"/>
            <w:vAlign w:val="bottom"/>
            <w:vMerge w:val="restart"/>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5E5E5"/>
          </w:tcPr>
          <w:p>
            <w:pPr>
              <w:jc w:val="center"/>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1,958,697</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E5E5E5"/>
          </w:tcPr>
          <w:p>
            <w:pPr>
              <w:ind w:left="20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vMerge w:val="restart"/>
            <w:shd w:val="clear" w:color="auto" w:fill="E5E5E5"/>
          </w:tcPr>
          <w:p>
            <w:pPr>
              <w:jc w:val="right"/>
              <w:ind w:right="108"/>
              <w:spacing w:after="0"/>
              <w:rPr>
                <w:sz w:val="20"/>
                <w:szCs w:val="20"/>
                <w:color w:val="auto"/>
              </w:rPr>
            </w:pPr>
            <w:r>
              <w:rPr>
                <w:rFonts w:ascii="Arial" w:cs="Arial" w:eastAsia="Arial" w:hAnsi="Arial"/>
                <w:sz w:val="14"/>
                <w:szCs w:val="14"/>
                <w:color w:val="auto"/>
              </w:rPr>
              <w:t>194,759</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vMerge w:val="restart"/>
            <w:shd w:val="clear" w:color="auto" w:fill="E5E5E5"/>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5,766,609</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58"/>
        </w:trPr>
        <w:tc>
          <w:tcPr>
            <w:tcW w:w="1900" w:type="dxa"/>
            <w:vAlign w:val="bottom"/>
            <w:tcBorders>
              <w:bottom w:val="single" w:sz="8" w:color="E5E5E5"/>
            </w:tcBorders>
            <w:shd w:val="clear" w:color="auto" w:fill="E5E5E5"/>
          </w:tcPr>
          <w:p>
            <w:pPr>
              <w:ind w:left="120"/>
              <w:spacing w:after="0" w:line="158" w:lineRule="exact"/>
              <w:rPr>
                <w:sz w:val="20"/>
                <w:szCs w:val="20"/>
                <w:color w:val="auto"/>
              </w:rPr>
            </w:pPr>
            <w:r>
              <w:rPr>
                <w:rFonts w:ascii="Arial" w:cs="Arial" w:eastAsia="Arial" w:hAnsi="Arial"/>
                <w:sz w:val="14"/>
                <w:szCs w:val="14"/>
                <w:color w:val="auto"/>
              </w:rPr>
              <w:t>President and Chief</w:t>
            </w:r>
          </w:p>
        </w:tc>
        <w:tc>
          <w:tcPr>
            <w:tcW w:w="120" w:type="dxa"/>
            <w:vAlign w:val="bottom"/>
            <w:tcBorders>
              <w:bottom w:val="single" w:sz="8" w:color="E5E5E5"/>
            </w:tcBorders>
            <w:shd w:val="clear" w:color="auto" w:fill="E5E5E5"/>
          </w:tcPr>
          <w:p>
            <w:pPr>
              <w:spacing w:after="0"/>
              <w:rPr>
                <w:sz w:val="13"/>
                <w:szCs w:val="13"/>
                <w:color w:val="auto"/>
              </w:rPr>
            </w:pPr>
          </w:p>
        </w:tc>
        <w:tc>
          <w:tcPr>
            <w:tcW w:w="140" w:type="dxa"/>
            <w:vAlign w:val="bottom"/>
            <w:tcBorders>
              <w:bottom w:val="single" w:sz="8" w:color="7F7F7F"/>
            </w:tcBorders>
            <w:vMerge w:val="continue"/>
            <w:shd w:val="clear" w:color="auto" w:fill="E5E5E5"/>
          </w:tcPr>
          <w:p>
            <w:pPr>
              <w:spacing w:after="0"/>
              <w:rPr>
                <w:sz w:val="13"/>
                <w:szCs w:val="13"/>
                <w:color w:val="auto"/>
              </w:rPr>
            </w:pPr>
          </w:p>
        </w:tc>
        <w:tc>
          <w:tcPr>
            <w:tcW w:w="60" w:type="dxa"/>
            <w:vAlign w:val="bottom"/>
            <w:tcBorders>
              <w:bottom w:val="single" w:sz="8" w:color="7F7F7F"/>
            </w:tcBorders>
            <w:shd w:val="clear" w:color="auto" w:fill="E5E5E5"/>
          </w:tcPr>
          <w:p>
            <w:pPr>
              <w:spacing w:after="0"/>
              <w:rPr>
                <w:sz w:val="13"/>
                <w:szCs w:val="13"/>
                <w:color w:val="auto"/>
              </w:rPr>
            </w:pPr>
          </w:p>
        </w:tc>
        <w:tc>
          <w:tcPr>
            <w:tcW w:w="580" w:type="dxa"/>
            <w:vAlign w:val="bottom"/>
            <w:tcBorders>
              <w:bottom w:val="single" w:sz="8" w:color="7F7F7F"/>
            </w:tcBorders>
            <w:vMerge w:val="continue"/>
            <w:shd w:val="clear" w:color="auto" w:fill="E5E5E5"/>
          </w:tcPr>
          <w:p>
            <w:pPr>
              <w:spacing w:after="0"/>
              <w:rPr>
                <w:sz w:val="13"/>
                <w:szCs w:val="13"/>
                <w:color w:val="auto"/>
              </w:rPr>
            </w:pPr>
          </w:p>
        </w:tc>
        <w:tc>
          <w:tcPr>
            <w:tcW w:w="200" w:type="dxa"/>
            <w:vAlign w:val="bottom"/>
            <w:tcBorders>
              <w:bottom w:val="single" w:sz="8" w:color="7F7F7F"/>
            </w:tcBorders>
            <w:vMerge w:val="continue"/>
            <w:shd w:val="clear" w:color="auto" w:fill="E5E5E5"/>
          </w:tcPr>
          <w:p>
            <w:pPr>
              <w:spacing w:after="0"/>
              <w:rPr>
                <w:sz w:val="13"/>
                <w:szCs w:val="13"/>
                <w:color w:val="auto"/>
              </w:rPr>
            </w:pPr>
          </w:p>
        </w:tc>
        <w:tc>
          <w:tcPr>
            <w:tcW w:w="760" w:type="dxa"/>
            <w:vAlign w:val="bottom"/>
            <w:tcBorders>
              <w:bottom w:val="single" w:sz="8" w:color="7F7F7F"/>
            </w:tcBorders>
            <w:gridSpan w:val="2"/>
            <w:vMerge w:val="continue"/>
            <w:shd w:val="clear" w:color="auto" w:fill="E5E5E5"/>
          </w:tcPr>
          <w:p>
            <w:pPr>
              <w:spacing w:after="0"/>
              <w:rPr>
                <w:sz w:val="13"/>
                <w:szCs w:val="13"/>
                <w:color w:val="auto"/>
              </w:rPr>
            </w:pPr>
          </w:p>
        </w:tc>
        <w:tc>
          <w:tcPr>
            <w:tcW w:w="200" w:type="dxa"/>
            <w:vAlign w:val="bottom"/>
            <w:tcBorders>
              <w:bottom w:val="single" w:sz="8" w:color="7F7F7F"/>
            </w:tcBorders>
            <w:vMerge w:val="continue"/>
            <w:shd w:val="clear" w:color="auto" w:fill="E5E5E5"/>
          </w:tcPr>
          <w:p>
            <w:pPr>
              <w:spacing w:after="0"/>
              <w:rPr>
                <w:sz w:val="13"/>
                <w:szCs w:val="13"/>
                <w:color w:val="auto"/>
              </w:rPr>
            </w:pPr>
          </w:p>
        </w:tc>
        <w:tc>
          <w:tcPr>
            <w:tcW w:w="420" w:type="dxa"/>
            <w:vAlign w:val="bottom"/>
            <w:tcBorders>
              <w:bottom w:val="single" w:sz="8" w:color="7F7F7F"/>
            </w:tcBorders>
            <w:shd w:val="clear" w:color="auto" w:fill="E5E5E5"/>
          </w:tcPr>
          <w:p>
            <w:pPr>
              <w:spacing w:after="0"/>
              <w:rPr>
                <w:sz w:val="13"/>
                <w:szCs w:val="13"/>
                <w:color w:val="auto"/>
              </w:rPr>
            </w:pPr>
          </w:p>
        </w:tc>
        <w:tc>
          <w:tcPr>
            <w:tcW w:w="340" w:type="dxa"/>
            <w:vAlign w:val="bottom"/>
            <w:tcBorders>
              <w:bottom w:val="single" w:sz="8" w:color="7F7F7F"/>
            </w:tcBorders>
            <w:vMerge w:val="continue"/>
            <w:shd w:val="clear" w:color="auto" w:fill="E5E5E5"/>
          </w:tcPr>
          <w:p>
            <w:pPr>
              <w:spacing w:after="0"/>
              <w:rPr>
                <w:sz w:val="13"/>
                <w:szCs w:val="13"/>
                <w:color w:val="auto"/>
              </w:rPr>
            </w:pPr>
          </w:p>
        </w:tc>
        <w:tc>
          <w:tcPr>
            <w:tcW w:w="1040" w:type="dxa"/>
            <w:vAlign w:val="bottom"/>
            <w:tcBorders>
              <w:bottom w:val="single" w:sz="8" w:color="7F7F7F"/>
            </w:tcBorders>
            <w:gridSpan w:val="3"/>
            <w:vMerge w:val="continue"/>
            <w:shd w:val="clear" w:color="auto" w:fill="E5E5E5"/>
          </w:tcPr>
          <w:p>
            <w:pPr>
              <w:spacing w:after="0"/>
              <w:rPr>
                <w:sz w:val="13"/>
                <w:szCs w:val="13"/>
                <w:color w:val="auto"/>
              </w:rPr>
            </w:pPr>
          </w:p>
        </w:tc>
        <w:tc>
          <w:tcPr>
            <w:tcW w:w="100" w:type="dxa"/>
            <w:vAlign w:val="bottom"/>
            <w:tcBorders>
              <w:bottom w:val="single" w:sz="8" w:color="7F7F7F"/>
            </w:tcBorders>
            <w:vMerge w:val="continue"/>
            <w:shd w:val="clear" w:color="auto" w:fill="E5E5E5"/>
          </w:tcPr>
          <w:p>
            <w:pPr>
              <w:spacing w:after="0"/>
              <w:rPr>
                <w:sz w:val="13"/>
                <w:szCs w:val="13"/>
                <w:color w:val="auto"/>
              </w:rPr>
            </w:pPr>
          </w:p>
        </w:tc>
        <w:tc>
          <w:tcPr>
            <w:tcW w:w="1040" w:type="dxa"/>
            <w:vAlign w:val="bottom"/>
            <w:tcBorders>
              <w:bottom w:val="single" w:sz="8" w:color="7F7F7F"/>
            </w:tcBorders>
            <w:vMerge w:val="continue"/>
            <w:shd w:val="clear" w:color="auto" w:fill="E5E5E5"/>
          </w:tcPr>
          <w:p>
            <w:pPr>
              <w:spacing w:after="0"/>
              <w:rPr>
                <w:sz w:val="13"/>
                <w:szCs w:val="13"/>
                <w:color w:val="auto"/>
              </w:rPr>
            </w:pPr>
          </w:p>
        </w:tc>
        <w:tc>
          <w:tcPr>
            <w:tcW w:w="200" w:type="dxa"/>
            <w:vAlign w:val="bottom"/>
            <w:tcBorders>
              <w:bottom w:val="single" w:sz="8" w:color="7F7F7F"/>
            </w:tcBorders>
            <w:vMerge w:val="continue"/>
            <w:shd w:val="clear" w:color="auto" w:fill="E5E5E5"/>
          </w:tcPr>
          <w:p>
            <w:pPr>
              <w:spacing w:after="0"/>
              <w:rPr>
                <w:sz w:val="13"/>
                <w:szCs w:val="13"/>
                <w:color w:val="auto"/>
              </w:rPr>
            </w:pPr>
          </w:p>
        </w:tc>
        <w:tc>
          <w:tcPr>
            <w:tcW w:w="100" w:type="dxa"/>
            <w:vAlign w:val="bottom"/>
            <w:tcBorders>
              <w:bottom w:val="single" w:sz="8" w:color="7F7F7F"/>
            </w:tcBorders>
            <w:vMerge w:val="continue"/>
            <w:shd w:val="clear" w:color="auto" w:fill="E5E5E5"/>
          </w:tcPr>
          <w:p>
            <w:pPr>
              <w:spacing w:after="0"/>
              <w:rPr>
                <w:sz w:val="13"/>
                <w:szCs w:val="13"/>
                <w:color w:val="auto"/>
              </w:rPr>
            </w:pPr>
          </w:p>
        </w:tc>
        <w:tc>
          <w:tcPr>
            <w:tcW w:w="300" w:type="dxa"/>
            <w:vAlign w:val="bottom"/>
            <w:tcBorders>
              <w:bottom w:val="single" w:sz="8" w:color="7F7F7F"/>
            </w:tcBorders>
            <w:vMerge w:val="continue"/>
            <w:shd w:val="clear" w:color="auto" w:fill="E5E5E5"/>
          </w:tcPr>
          <w:p>
            <w:pPr>
              <w:spacing w:after="0"/>
              <w:rPr>
                <w:sz w:val="13"/>
                <w:szCs w:val="13"/>
                <w:color w:val="auto"/>
              </w:rPr>
            </w:pPr>
          </w:p>
        </w:tc>
        <w:tc>
          <w:tcPr>
            <w:tcW w:w="740" w:type="dxa"/>
            <w:vAlign w:val="bottom"/>
            <w:tcBorders>
              <w:bottom w:val="single" w:sz="8" w:color="7F7F7F"/>
            </w:tcBorders>
            <w:vMerge w:val="continue"/>
            <w:shd w:val="clear" w:color="auto" w:fill="E5E5E5"/>
          </w:tcPr>
          <w:p>
            <w:pPr>
              <w:spacing w:after="0"/>
              <w:rPr>
                <w:sz w:val="13"/>
                <w:szCs w:val="13"/>
                <w:color w:val="auto"/>
              </w:rPr>
            </w:pPr>
          </w:p>
        </w:tc>
        <w:tc>
          <w:tcPr>
            <w:tcW w:w="180" w:type="dxa"/>
            <w:vAlign w:val="bottom"/>
            <w:tcBorders>
              <w:bottom w:val="single" w:sz="8" w:color="7F7F7F"/>
            </w:tcBorders>
            <w:vMerge w:val="continue"/>
            <w:shd w:val="clear" w:color="auto" w:fill="E5E5E5"/>
          </w:tcPr>
          <w:p>
            <w:pPr>
              <w:spacing w:after="0"/>
              <w:rPr>
                <w:sz w:val="13"/>
                <w:szCs w:val="13"/>
                <w:color w:val="auto"/>
              </w:rPr>
            </w:pPr>
          </w:p>
        </w:tc>
        <w:tc>
          <w:tcPr>
            <w:tcW w:w="980" w:type="dxa"/>
            <w:vAlign w:val="bottom"/>
            <w:tcBorders>
              <w:bottom w:val="single" w:sz="8" w:color="7F7F7F"/>
            </w:tcBorders>
            <w:gridSpan w:val="3"/>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Financial Officer</w:t>
            </w:r>
          </w:p>
        </w:tc>
        <w:tc>
          <w:tcPr>
            <w:tcW w:w="120" w:type="dxa"/>
            <w:vAlign w:val="bottom"/>
            <w:tcBorders>
              <w:bottom w:val="single" w:sz="8" w:color="auto"/>
            </w:tcBorders>
            <w:shd w:val="clear" w:color="auto" w:fill="E5E5E5"/>
          </w:tcPr>
          <w:p>
            <w:pPr>
              <w:spacing w:after="0"/>
              <w:rPr>
                <w:sz w:val="22"/>
                <w:szCs w:val="22"/>
                <w:color w:val="auto"/>
              </w:rPr>
            </w:pPr>
          </w:p>
        </w:tc>
        <w:tc>
          <w:tcPr>
            <w:tcW w:w="1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E5E5E5"/>
          </w:tcPr>
          <w:p>
            <w:pPr>
              <w:spacing w:after="0"/>
              <w:rPr>
                <w:sz w:val="22"/>
                <w:szCs w:val="22"/>
                <w:color w:val="auto"/>
              </w:rPr>
            </w:pPr>
          </w:p>
        </w:tc>
        <w:tc>
          <w:tcPr>
            <w:tcW w:w="580" w:type="dxa"/>
            <w:vAlign w:val="bottom"/>
            <w:tcBorders>
              <w:bottom w:val="single" w:sz="8" w:color="auto"/>
            </w:tcBorders>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shd w:val="clear" w:color="auto" w:fill="E5E5E5"/>
              </w:rPr>
              <w:t xml:space="preserve">​2023 </w:t>
            </w:r>
            <w:r>
              <w:rPr>
                <w:rFonts w:ascii="Arial" w:cs="Arial" w:eastAsia="Arial" w:hAnsi="Arial"/>
                <w:sz w:val="28"/>
                <w:szCs w:val="28"/>
                <w:color w:val="auto"/>
                <w:vertAlign w:val="superscript"/>
                <w:shd w:val="clear" w:color="auto" w:fill="E5E5E5"/>
              </w:rPr>
              <w:t>​ ​</w:t>
            </w:r>
          </w:p>
        </w:tc>
        <w:tc>
          <w:tcPr>
            <w:tcW w:w="20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14"/>
                <w:szCs w:val="14"/>
                <w:color w:val="auto"/>
                <w:shd w:val="clear" w:color="auto" w:fill="E5E5E5"/>
              </w:rPr>
              <w:t>​ ​</w:t>
            </w:r>
            <w:r>
              <w:rPr>
                <w:rFonts w:ascii="Arial" w:cs="Arial" w:eastAsia="Arial" w:hAnsi="Arial"/>
                <w:sz w:val="28"/>
                <w:szCs w:val="28"/>
                <w:color w:val="auto"/>
                <w:vertAlign w:val="subscript"/>
                <w:shd w:val="clear" w:color="auto" w:fill="E5E5E5"/>
              </w:rPr>
              <w:t>​</w:t>
            </w:r>
          </w:p>
        </w:tc>
        <w:tc>
          <w:tcPr>
            <w:tcW w:w="76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14"/>
                <w:szCs w:val="14"/>
                <w:color w:val="auto"/>
                <w:shd w:val="clear" w:color="auto" w:fill="E5E5E5"/>
              </w:rPr>
              <w:t>630,000</w:t>
            </w:r>
            <w:r>
              <w:rPr>
                <w:rFonts w:ascii="Arial" w:cs="Arial" w:eastAsia="Arial" w:hAnsi="Arial"/>
                <w:sz w:val="28"/>
                <w:szCs w:val="28"/>
                <w:color w:val="auto"/>
                <w:vertAlign w:val="superscript"/>
                <w:shd w:val="clear" w:color="auto" w:fill="E5E5E5"/>
              </w:rPr>
              <w:t>​ ​</w:t>
            </w:r>
          </w:p>
        </w:tc>
        <w:tc>
          <w:tcPr>
            <w:tcW w:w="20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14"/>
                <w:szCs w:val="14"/>
                <w:color w:val="auto"/>
                <w:shd w:val="clear" w:color="auto" w:fill="E5E5E5"/>
              </w:rPr>
              <w:t>​ ​</w:t>
            </w:r>
            <w:r>
              <w:rPr>
                <w:rFonts w:ascii="Arial" w:cs="Arial" w:eastAsia="Arial" w:hAnsi="Arial"/>
                <w:sz w:val="28"/>
                <w:szCs w:val="28"/>
                <w:color w:val="auto"/>
                <w:vertAlign w:val="subscript"/>
                <w:shd w:val="clear" w:color="auto" w:fill="E5E5E5"/>
              </w:rPr>
              <w:t>​</w:t>
            </w:r>
          </w:p>
        </w:tc>
        <w:tc>
          <w:tcPr>
            <w:tcW w:w="76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14"/>
                <w:szCs w:val="14"/>
                <w:color w:val="auto"/>
                <w:shd w:val="clear" w:color="auto" w:fill="E5E5E5"/>
              </w:rPr>
              <w:t>945,000</w:t>
            </w:r>
            <w:r>
              <w:rPr>
                <w:rFonts w:ascii="Arial" w:cs="Arial" w:eastAsia="Arial" w:hAnsi="Arial"/>
                <w:sz w:val="28"/>
                <w:szCs w:val="28"/>
                <w:color w:val="auto"/>
                <w:vertAlign w:val="superscript"/>
                <w:shd w:val="clear" w:color="auto" w:fill="E5E5E5"/>
              </w:rPr>
              <w:t>​ ​</w:t>
            </w:r>
          </w:p>
        </w:tc>
        <w:tc>
          <w:tcPr>
            <w:tcW w:w="1040" w:type="dxa"/>
            <w:vAlign w:val="bottom"/>
            <w:tcBorders>
              <w:bottom w:val="single" w:sz="8" w:color="auto"/>
            </w:tcBorders>
            <w:gridSpan w:val="3"/>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shd w:val="clear" w:color="auto" w:fill="E5E5E5"/>
              </w:rPr>
              <w:t>​ ​</w:t>
            </w:r>
            <w:r>
              <w:rPr>
                <w:rFonts w:ascii="Arial" w:cs="Arial" w:eastAsia="Arial" w:hAnsi="Arial"/>
                <w:sz w:val="14"/>
                <w:szCs w:val="14"/>
                <w:color w:val="auto"/>
                <w:shd w:val="clear" w:color="auto" w:fill="E5E5E5"/>
              </w:rPr>
              <w:t>​ 2,500,016</w:t>
            </w:r>
            <w:r>
              <w:rPr>
                <w:rFonts w:ascii="Arial" w:cs="Arial" w:eastAsia="Arial" w:hAnsi="Arial"/>
                <w:sz w:val="28"/>
                <w:szCs w:val="28"/>
                <w:color w:val="auto"/>
                <w:vertAlign w:val="superscript"/>
                <w:shd w:val="clear" w:color="auto" w:fill="E5E5E5"/>
              </w:rPr>
              <w:t>​ ​</w:t>
            </w:r>
          </w:p>
        </w:tc>
        <w:tc>
          <w:tcPr>
            <w:tcW w:w="1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shd w:val="clear" w:color="auto" w:fill="E5E5E5"/>
              </w:rPr>
              <w:t>​</w:t>
            </w:r>
          </w:p>
        </w:tc>
        <w:tc>
          <w:tcPr>
            <w:tcW w:w="1040" w:type="dxa"/>
            <w:vAlign w:val="bottom"/>
            <w:tcBorders>
              <w:bottom w:val="single" w:sz="8" w:color="auto"/>
            </w:tcBorders>
            <w:shd w:val="clear" w:color="auto" w:fill="E5E5E5"/>
          </w:tcPr>
          <w:p>
            <w:pPr>
              <w:jc w:val="center"/>
              <w:spacing w:after="0" w:line="263" w:lineRule="exact"/>
              <w:rPr>
                <w:sz w:val="20"/>
                <w:szCs w:val="20"/>
                <w:color w:val="auto"/>
              </w:rPr>
            </w:pPr>
            <w:r>
              <w:rPr>
                <w:rFonts w:ascii="Arial" w:cs="Arial" w:eastAsia="Arial" w:hAnsi="Arial"/>
                <w:sz w:val="28"/>
                <w:szCs w:val="28"/>
                <w:color w:val="auto"/>
                <w:vertAlign w:val="superscript"/>
                <w:shd w:val="clear" w:color="auto" w:fill="E5E5E5"/>
              </w:rPr>
              <w:t>​</w:t>
            </w:r>
            <w:r>
              <w:rPr>
                <w:rFonts w:ascii="Arial" w:cs="Arial" w:eastAsia="Arial" w:hAnsi="Arial"/>
                <w:sz w:val="14"/>
                <w:szCs w:val="14"/>
                <w:color w:val="auto"/>
                <w:shd w:val="clear" w:color="auto" w:fill="E5E5E5"/>
              </w:rPr>
              <w:t>​ 2,613,563</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shd w:val="clear" w:color="auto" w:fill="E5E5E5"/>
              </w:rPr>
              <w:t>​ ​</w:t>
            </w:r>
          </w:p>
        </w:tc>
        <w:tc>
          <w:tcPr>
            <w:tcW w:w="1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shd w:val="clear" w:color="auto" w:fill="E5E5E5"/>
              </w:rPr>
              <w:t>​</w:t>
            </w:r>
          </w:p>
        </w:tc>
        <w:tc>
          <w:tcPr>
            <w:tcW w:w="300" w:type="dxa"/>
            <w:vAlign w:val="bottom"/>
            <w:tcBorders>
              <w:bottom w:val="single" w:sz="8" w:color="auto"/>
            </w:tcBorders>
            <w:shd w:val="clear" w:color="auto" w:fill="E5E5E5"/>
          </w:tcPr>
          <w:p>
            <w:pPr>
              <w:ind w:left="200"/>
              <w:spacing w:after="0" w:line="263" w:lineRule="exact"/>
              <w:rPr>
                <w:sz w:val="20"/>
                <w:szCs w:val="20"/>
                <w:color w:val="auto"/>
              </w:rPr>
            </w:pPr>
            <w:r>
              <w:rPr>
                <w:rFonts w:ascii="Arial" w:cs="Arial" w:eastAsia="Arial" w:hAnsi="Arial"/>
                <w:sz w:val="14"/>
                <w:szCs w:val="14"/>
                <w:color w:val="auto"/>
                <w:shd w:val="clear" w:color="auto" w:fill="E5E5E5"/>
              </w:rPr>
              <w:t>​</w:t>
            </w:r>
            <w:r>
              <w:rPr>
                <w:rFonts w:ascii="Arial" w:cs="Arial" w:eastAsia="Arial" w:hAnsi="Arial"/>
                <w:sz w:val="28"/>
                <w:szCs w:val="28"/>
                <w:color w:val="auto"/>
                <w:vertAlign w:val="subscript"/>
                <w:shd w:val="clear" w:color="auto" w:fill="E5E5E5"/>
              </w:rPr>
              <w:t>​</w:t>
            </w:r>
          </w:p>
        </w:tc>
        <w:tc>
          <w:tcPr>
            <w:tcW w:w="74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shd w:val="clear" w:color="auto" w:fill="E5E5E5"/>
              </w:rPr>
              <w:t>152,185</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shd w:val="clear" w:color="auto" w:fill="E5E5E5"/>
              </w:rPr>
              <w:t>​ ​</w:t>
            </w:r>
          </w:p>
        </w:tc>
        <w:tc>
          <w:tcPr>
            <w:tcW w:w="980" w:type="dxa"/>
            <w:vAlign w:val="bottom"/>
            <w:tcBorders>
              <w:bottom w:val="single" w:sz="8" w:color="auto"/>
            </w:tcBorders>
            <w:gridSpan w:val="3"/>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shd w:val="clear" w:color="auto" w:fill="E5E5E5"/>
              </w:rPr>
              <w:t>​ ​</w:t>
            </w:r>
            <w:r>
              <w:rPr>
                <w:rFonts w:ascii="Arial" w:cs="Arial" w:eastAsia="Arial" w:hAnsi="Arial"/>
                <w:sz w:val="14"/>
                <w:szCs w:val="14"/>
                <w:color w:val="auto"/>
                <w:shd w:val="clear" w:color="auto" w:fill="E5E5E5"/>
              </w:rPr>
              <w:t>​ 6,840,764</w:t>
            </w:r>
            <w:r>
              <w:rPr>
                <w:rFonts w:ascii="Arial" w:cs="Arial" w:eastAsia="Arial" w:hAnsi="Arial"/>
                <w:sz w:val="28"/>
                <w:szCs w:val="28"/>
                <w:color w:val="auto"/>
                <w:vertAlign w:val="superscript"/>
                <w:shd w:val="clear" w:color="auto" w:fill="E5E5E5"/>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40" w:right="40" w:hanging="368"/>
        <w:spacing w:after="0" w:line="250" w:lineRule="auto"/>
        <w:tabs>
          <w:tab w:leader="none" w:pos="10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amount reported in 2024 for Mr. Olafsson includes (i) a one-time cash payment in the amount of $123,750 related to a one month extension of Mr. Olafsson’s employment under his employment agreement (as subsequently amended and restated, the “2022 CEO Agreement”) entered into on June 16, 2022, while the terms of a new employment agreement (the “2024 CEO Agreement”) we entered into with Mr. Olafsson in connection with our emergence from the 2023 bankruptcy proceedings were being negotiated and (ii) a sign-on bonus of $6,588,970 in connection with the 2024 CEO Agreement in which the amount is consistent with the severance payment Mr. Olafsson would have received under the 2022 CEO Agreement if he did not continue his employment. Notably, Mr. Olafsson declined to participate in the Company’s 2023 Key Employee Retention Program (“2023 KERP”) and 2023 Key Employee Incentive Program approved by the previous Board in June 2023. The amounts reported in 2023 for Ms. Nielsen, Ms. French,</w:t>
      </w:r>
    </w:p>
    <w:p>
      <w:pPr>
        <w:spacing w:after="0" w:line="1" w:lineRule="exact"/>
        <w:rPr>
          <w:rFonts w:ascii="Arial" w:cs="Arial" w:eastAsia="Arial" w:hAnsi="Arial"/>
          <w:sz w:val="13"/>
          <w:szCs w:val="13"/>
          <w:color w:val="auto"/>
        </w:rPr>
      </w:pPr>
    </w:p>
    <w:p>
      <w:pPr>
        <w:ind w:left="1040" w:right="240"/>
        <w:spacing w:after="0" w:line="261" w:lineRule="auto"/>
        <w:rPr>
          <w:rFonts w:ascii="Arial" w:cs="Arial" w:eastAsia="Arial" w:hAnsi="Arial"/>
          <w:sz w:val="13"/>
          <w:szCs w:val="13"/>
          <w:color w:val="auto"/>
        </w:rPr>
      </w:pPr>
      <w:r>
        <w:rPr>
          <w:rFonts w:ascii="Arial" w:cs="Arial" w:eastAsia="Arial" w:hAnsi="Arial"/>
          <w:sz w:val="13"/>
          <w:szCs w:val="13"/>
          <w:color w:val="auto"/>
        </w:rPr>
        <w:t>Mr. Tyndall, and Mr. Reasons represent a cash retention award earned and paid in 2023 pursuant to the 2023 KERP contingent upon remaining continuously employed with the Company through June 14, 2024, or, if earlier, the date the Company emerged from the 2023 bankruptcy proceedings.</w:t>
      </w:r>
    </w:p>
    <w:p>
      <w:pPr>
        <w:spacing w:after="0" w:line="40" w:lineRule="exact"/>
        <w:rPr>
          <w:rFonts w:ascii="Arial" w:cs="Arial" w:eastAsia="Arial" w:hAnsi="Arial"/>
          <w:sz w:val="13"/>
          <w:szCs w:val="13"/>
          <w:color w:val="auto"/>
        </w:rPr>
      </w:pPr>
    </w:p>
    <w:p>
      <w:pPr>
        <w:ind w:left="1040" w:right="40" w:hanging="368"/>
        <w:spacing w:after="0" w:line="248" w:lineRule="auto"/>
        <w:tabs>
          <w:tab w:leader="none" w:pos="10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amounts reported in 2025 for Mr. Olafsson and Ms. Stamoulis represent the aggregate grant date fair value, computed in accordance with ASC 718, of RSUs granted as inducement awards during fiscal 2025, as further discussed in the sections entitled “Compensation Discussion and Analysis — Post-Merger 2025 Executive Compensation Decisions — Employment Agreement with Mr. Olafsson” and “Compensation Discussion and Analysis — Post-Merger 2025 Executive Compensation Decisions — Employment Agreement with Ms. Stamoulis.” Further information regarding the equity awards granted in fiscal 2025 are included in the sections entitled “— Grants of Plan-Based Awards,” “— Narrative Disclosure to Summary Compensation Table and Grants of Plan-Based Awards Table” and “— Outstanding Equity Awards at Fiscal Year-End.” Amounts reported in 2025 do not correspond to the actual value that may be recognized by the NEOs, which may be higher or lower based on a number of factors, including our share price performance and applicable vesting. For additional information relating to assumptions made in the valuation for fiscal 2025 awards reflected in this column, see Note 18 to the Consolidated Financial Statements included in our Annual Report on Form 10-K for the fiscal year ended December 31, 2025. The amount reported in 2025 for Mr. Reasons, computed in accordance with ASC 718, represents the incremental fair value of an accounting modification made in 2025 to RSUs granted to Mr. Reasons during fiscal 2024 (the “2024 Reasons RSUs”). As previously disclosed, the 2024 Reasons RSUs were amended to provide that in the event of Mr. Reasons’s termination of employment by us without Cause (as defined in the 2024 Plan), the unvested 2024 Reasons RSUs would vest in full effective as of his execution of a release of claims in the Company’s customary form. The amounts reported in 2023 do not reflect the impact of the 2023 bankruptcy proceedings on equity awards. In connection with our emergence from the 2023 bankruptcy proceedings on November 14, 2023, each then-existing equity interest in the Company, including our ordinary shares and existing equity-based awards, was cancelled and extinguished. Accordingly, our NEOs did not ultimately realize the values related to their 2023 equity awards.</w:t>
      </w:r>
    </w:p>
    <w:p>
      <w:pPr>
        <w:spacing w:after="0" w:line="167"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33</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8" w:lineRule="exact"/>
        <w:rPr>
          <w:sz w:val="20"/>
          <w:szCs w:val="20"/>
          <w:color w:val="auto"/>
        </w:rPr>
      </w:pPr>
    </w:p>
    <w:p>
      <w:pPr>
        <w:ind w:left="1040" w:right="40" w:hanging="368"/>
        <w:spacing w:after="0" w:line="254" w:lineRule="auto"/>
        <w:tabs>
          <w:tab w:leader="none" w:pos="10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reported in 2025 for each NEO included Transaction Incentive Plan payments related to the 2024 Therakos Divestiture and the 2025 Business Combination of $34,436,542 for Mr. Olafsson, $6,507,693 for each of Ms. Nielsen, Ms. French and Mr. Tyndall, and $8,134,616 for Mr. Reasons. The remaining amounts reported in 2025 related to cash awards paid to the NEOs under our 2025 STIP. For information regarding the Transaction Incentive Plan and the calculation of the 2025 STIP awards, see the section entitled “Compensation Discussion and Analysis — Fiscal 2025 Executive Compensation — 2025 STIP Awards.”</w:t>
      </w:r>
    </w:p>
    <w:p>
      <w:pPr>
        <w:spacing w:after="0" w:line="45" w:lineRule="exact"/>
        <w:rPr>
          <w:rFonts w:ascii="Arial" w:cs="Arial" w:eastAsia="Arial" w:hAnsi="Arial"/>
          <w:sz w:val="13"/>
          <w:szCs w:val="13"/>
          <w:color w:val="auto"/>
        </w:rPr>
      </w:pPr>
    </w:p>
    <w:p>
      <w:pPr>
        <w:ind w:left="1040" w:right="300" w:hanging="368"/>
        <w:spacing w:after="0" w:line="281" w:lineRule="auto"/>
        <w:tabs>
          <w:tab w:leader="none" w:pos="10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table below provides further detail on the amounts included in the All Other Compensation column of the Summary Compensation Table for fiscal 2025.</w:t>
      </w:r>
    </w:p>
    <w:p>
      <w:pPr>
        <w:spacing w:after="0" w:line="162"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3180" w:type="dxa"/>
            <w:vAlign w:val="bottom"/>
            <w:shd w:val="clear" w:color="auto" w:fill="B2EEDE"/>
          </w:tcPr>
          <w:p>
            <w:pPr>
              <w:spacing w:after="0"/>
              <w:rPr>
                <w:sz w:val="16"/>
                <w:szCs w:val="16"/>
                <w:color w:val="auto"/>
              </w:rPr>
            </w:pPr>
          </w:p>
        </w:tc>
        <w:tc>
          <w:tcPr>
            <w:tcW w:w="1760" w:type="dxa"/>
            <w:vAlign w:val="bottom"/>
            <w:shd w:val="clear" w:color="auto" w:fill="B2EEDE"/>
          </w:tcPr>
          <w:p>
            <w:pPr>
              <w:spacing w:after="0"/>
              <w:rPr>
                <w:sz w:val="16"/>
                <w:szCs w:val="16"/>
                <w:color w:val="auto"/>
              </w:rPr>
            </w:pPr>
          </w:p>
        </w:tc>
        <w:tc>
          <w:tcPr>
            <w:tcW w:w="96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Credits to</w:t>
            </w:r>
          </w:p>
        </w:tc>
        <w:tc>
          <w:tcPr>
            <w:tcW w:w="1180" w:type="dxa"/>
            <w:vAlign w:val="bottom"/>
            <w:shd w:val="clear" w:color="auto" w:fill="B2EEDE"/>
          </w:tcPr>
          <w:p>
            <w:pPr>
              <w:spacing w:after="0"/>
              <w:rPr>
                <w:sz w:val="16"/>
                <w:szCs w:val="16"/>
                <w:color w:val="auto"/>
              </w:rPr>
            </w:pPr>
          </w:p>
        </w:tc>
        <w:tc>
          <w:tcPr>
            <w:tcW w:w="540" w:type="dxa"/>
            <w:vAlign w:val="bottom"/>
            <w:shd w:val="clear" w:color="auto" w:fill="B2EEDE"/>
          </w:tcPr>
          <w:p>
            <w:pPr>
              <w:spacing w:after="0"/>
              <w:rPr>
                <w:sz w:val="16"/>
                <w:szCs w:val="16"/>
                <w:color w:val="auto"/>
              </w:rPr>
            </w:pPr>
          </w:p>
        </w:tc>
        <w:tc>
          <w:tcPr>
            <w:tcW w:w="200" w:type="dxa"/>
            <w:vAlign w:val="bottom"/>
            <w:shd w:val="clear" w:color="auto" w:fill="B2EEDE"/>
          </w:tcPr>
          <w:p>
            <w:pPr>
              <w:spacing w:after="0"/>
              <w:rPr>
                <w:sz w:val="16"/>
                <w:szCs w:val="16"/>
                <w:color w:val="auto"/>
              </w:rPr>
            </w:pPr>
          </w:p>
        </w:tc>
      </w:tr>
      <w:tr>
        <w:trPr>
          <w:trHeight w:val="176"/>
        </w:trPr>
        <w:tc>
          <w:tcPr>
            <w:tcW w:w="3180" w:type="dxa"/>
            <w:vAlign w:val="bottom"/>
            <w:shd w:val="clear" w:color="auto" w:fill="B2EEDE"/>
          </w:tcPr>
          <w:p>
            <w:pPr>
              <w:spacing w:after="0"/>
              <w:rPr>
                <w:sz w:val="15"/>
                <w:szCs w:val="15"/>
                <w:color w:val="auto"/>
              </w:rPr>
            </w:pPr>
          </w:p>
        </w:tc>
        <w:tc>
          <w:tcPr>
            <w:tcW w:w="1760" w:type="dxa"/>
            <w:vAlign w:val="bottom"/>
            <w:shd w:val="clear" w:color="auto" w:fill="B2EEDE"/>
          </w:tcPr>
          <w:p>
            <w:pPr>
              <w:spacing w:after="0"/>
              <w:rPr>
                <w:sz w:val="15"/>
                <w:szCs w:val="15"/>
                <w:color w:val="auto"/>
              </w:rPr>
            </w:pPr>
          </w:p>
        </w:tc>
        <w:tc>
          <w:tcPr>
            <w:tcW w:w="9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shd w:val="clear" w:color="auto" w:fill="B2EEDE"/>
          </w:tcPr>
          <w:p>
            <w:pPr>
              <w:spacing w:after="0"/>
              <w:rPr>
                <w:sz w:val="15"/>
                <w:szCs w:val="15"/>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Supplemental</w:t>
            </w:r>
          </w:p>
        </w:tc>
        <w:tc>
          <w:tcPr>
            <w:tcW w:w="1180" w:type="dxa"/>
            <w:vAlign w:val="bottom"/>
            <w:shd w:val="clear" w:color="auto" w:fill="B2EEDE"/>
          </w:tcPr>
          <w:p>
            <w:pPr>
              <w:spacing w:after="0"/>
              <w:rPr>
                <w:sz w:val="15"/>
                <w:szCs w:val="15"/>
                <w:color w:val="auto"/>
              </w:rPr>
            </w:pPr>
          </w:p>
        </w:tc>
        <w:tc>
          <w:tcPr>
            <w:tcW w:w="54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r>
      <w:tr>
        <w:trPr>
          <w:trHeight w:val="176"/>
        </w:trPr>
        <w:tc>
          <w:tcPr>
            <w:tcW w:w="3180" w:type="dxa"/>
            <w:vAlign w:val="bottom"/>
            <w:shd w:val="clear" w:color="auto" w:fill="B2EEDE"/>
          </w:tcPr>
          <w:p>
            <w:pPr>
              <w:spacing w:after="0"/>
              <w:rPr>
                <w:sz w:val="15"/>
                <w:szCs w:val="15"/>
                <w:color w:val="auto"/>
              </w:rPr>
            </w:pPr>
          </w:p>
        </w:tc>
        <w:tc>
          <w:tcPr>
            <w:tcW w:w="1760" w:type="dxa"/>
            <w:vAlign w:val="bottom"/>
            <w:shd w:val="clear" w:color="auto" w:fill="B2EEDE"/>
          </w:tcPr>
          <w:p>
            <w:pPr>
              <w:spacing w:after="0"/>
              <w:rPr>
                <w:sz w:val="15"/>
                <w:szCs w:val="15"/>
                <w:color w:val="auto"/>
              </w:rPr>
            </w:pPr>
          </w:p>
        </w:tc>
        <w:tc>
          <w:tcPr>
            <w:tcW w:w="9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to 401(k) Plan</w:t>
            </w:r>
          </w:p>
        </w:tc>
        <w:tc>
          <w:tcPr>
            <w:tcW w:w="240" w:type="dxa"/>
            <w:vAlign w:val="bottom"/>
            <w:shd w:val="clear" w:color="auto" w:fill="B2EEDE"/>
          </w:tcPr>
          <w:p>
            <w:pPr>
              <w:spacing w:after="0"/>
              <w:rPr>
                <w:sz w:val="15"/>
                <w:szCs w:val="15"/>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Savings Plan</w:t>
            </w:r>
          </w:p>
        </w:tc>
        <w:tc>
          <w:tcPr>
            <w:tcW w:w="1180" w:type="dxa"/>
            <w:vAlign w:val="bottom"/>
            <w:shd w:val="clear" w:color="auto" w:fill="B2EEDE"/>
          </w:tcPr>
          <w:p>
            <w:pPr>
              <w:ind w:left="340"/>
              <w:spacing w:after="0"/>
              <w:rPr>
                <w:sz w:val="20"/>
                <w:szCs w:val="20"/>
                <w:color w:val="auto"/>
              </w:rPr>
            </w:pPr>
            <w:r>
              <w:rPr>
                <w:rFonts w:ascii="Arial" w:cs="Arial" w:eastAsia="Arial" w:hAnsi="Arial"/>
                <w:sz w:val="14"/>
                <w:szCs w:val="14"/>
                <w:b w:val="1"/>
                <w:bCs w:val="1"/>
                <w:color w:val="auto"/>
              </w:rPr>
              <w:t>Other</w:t>
            </w:r>
          </w:p>
        </w:tc>
        <w:tc>
          <w:tcPr>
            <w:tcW w:w="5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B2EEDE"/>
          </w:tcPr>
          <w:p>
            <w:pPr>
              <w:spacing w:after="0"/>
              <w:rPr>
                <w:sz w:val="15"/>
                <w:szCs w:val="15"/>
                <w:color w:val="auto"/>
              </w:rPr>
            </w:pPr>
          </w:p>
        </w:tc>
      </w:tr>
      <w:tr>
        <w:trPr>
          <w:trHeight w:val="225"/>
        </w:trPr>
        <w:tc>
          <w:tcPr>
            <w:tcW w:w="3180" w:type="dxa"/>
            <w:vAlign w:val="bottom"/>
            <w:tcBorders>
              <w:bottom w:val="single" w:sz="8" w:color="auto"/>
            </w:tcBorders>
            <w:shd w:val="clear" w:color="auto" w:fill="B2EEDE"/>
          </w:tcPr>
          <w:p>
            <w:pPr>
              <w:ind w:left="4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Name</w:t>
            </w:r>
          </w:p>
        </w:tc>
        <w:tc>
          <w:tcPr>
            <w:tcW w:w="1760" w:type="dxa"/>
            <w:vAlign w:val="bottom"/>
            <w:tcBorders>
              <w:bottom w:val="single" w:sz="8" w:color="auto"/>
            </w:tcBorders>
            <w:shd w:val="clear" w:color="auto" w:fill="B2EEDE"/>
          </w:tcPr>
          <w:p>
            <w:pPr>
              <w:ind w:left="1600"/>
              <w:spacing w:after="0"/>
              <w:rPr>
                <w:sz w:val="20"/>
                <w:szCs w:val="20"/>
                <w:color w:val="auto"/>
              </w:rPr>
            </w:pPr>
            <w:r>
              <w:rPr>
                <w:rFonts w:ascii="Arial" w:cs="Arial" w:eastAsia="Arial" w:hAnsi="Arial"/>
                <w:sz w:val="14"/>
                <w:szCs w:val="14"/>
                <w:b w:val="1"/>
                <w:bCs w:val="1"/>
                <w:color w:val="auto"/>
              </w:rPr>
              <w:t>​ ​</w:t>
            </w:r>
          </w:p>
        </w:tc>
        <w:tc>
          <w:tcPr>
            <w:tcW w:w="96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B2EEDE"/>
          </w:tcPr>
          <w:p>
            <w:pPr>
              <w:spacing w:after="0"/>
              <w:rPr>
                <w:sz w:val="19"/>
                <w:szCs w:val="19"/>
                <w:color w:val="auto"/>
              </w:rPr>
            </w:pPr>
          </w:p>
        </w:tc>
        <w:tc>
          <w:tcPr>
            <w:tcW w:w="740" w:type="dxa"/>
            <w:vAlign w:val="bottom"/>
            <w:tcBorders>
              <w:bottom w:val="single" w:sz="8" w:color="auto"/>
            </w:tcBorders>
            <w:shd w:val="clear" w:color="auto" w:fill="B2EEDE"/>
          </w:tcPr>
          <w:p>
            <w:pPr>
              <w:jc w:val="center"/>
              <w:ind w:right="101"/>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Borders>
              <w:bottom w:val="single" w:sz="8" w:color="auto"/>
            </w:tcBorders>
            <w:shd w:val="clear" w:color="auto" w:fill="B2EEDE"/>
          </w:tcPr>
          <w:p>
            <w:pPr>
              <w:jc w:val="center"/>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vertAlign w:val="superscript"/>
              </w:rPr>
              <w:t>(a)(b)</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p>
        </w:tc>
        <w:tc>
          <w:tcPr>
            <w:tcW w:w="540" w:type="dxa"/>
            <w:vAlign w:val="bottom"/>
            <w:tcBorders>
              <w:bottom w:val="single" w:sz="8" w:color="auto"/>
            </w:tcBorders>
            <w:shd w:val="clear" w:color="auto" w:fill="B2EEDE"/>
          </w:tcPr>
          <w:p>
            <w:pPr>
              <w:jc w:val="right"/>
              <w:ind w:right="107"/>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31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Sigurdur O. Olafsson</w:t>
            </w:r>
          </w:p>
        </w:tc>
        <w:tc>
          <w:tcPr>
            <w:tcW w:w="17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22,250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gridSpan w:val="2"/>
          </w:tcPr>
          <w:p>
            <w:pPr>
              <w:jc w:val="right"/>
              <w:ind w:right="2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​2,280,808</w:t>
            </w:r>
          </w:p>
        </w:tc>
        <w:tc>
          <w:tcPr>
            <w:tcW w:w="19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38,818</w:t>
            </w:r>
            <w:r>
              <w:rPr>
                <w:rFonts w:ascii="Arial" w:cs="Arial" w:eastAsia="Arial" w:hAnsi="Arial"/>
                <w:sz w:val="28"/>
                <w:szCs w:val="28"/>
                <w:color w:val="auto"/>
                <w:vertAlign w:val="subscript"/>
              </w:rPr>
              <w:t>​​ ​​</w:t>
            </w:r>
            <w:r>
              <w:rPr>
                <w:rFonts w:ascii="Arial" w:cs="Arial" w:eastAsia="Arial" w:hAnsi="Arial"/>
                <w:sz w:val="15"/>
                <w:szCs w:val="15"/>
                <w:color w:val="auto"/>
              </w:rPr>
              <w:t>​2,341,876</w:t>
            </w:r>
            <w:r>
              <w:rPr>
                <w:rFonts w:ascii="Arial" w:cs="Arial" w:eastAsia="Arial" w:hAnsi="Arial"/>
                <w:sz w:val="28"/>
                <w:szCs w:val="28"/>
                <w:color w:val="auto"/>
                <w:vertAlign w:val="subscript"/>
              </w:rPr>
              <w:t>​​</w:t>
            </w:r>
          </w:p>
        </w:tc>
      </w:tr>
      <w:tr>
        <w:trPr>
          <w:trHeight w:val="250"/>
        </w:trPr>
        <w:tc>
          <w:tcPr>
            <w:tcW w:w="3180" w:type="dxa"/>
            <w:vAlign w:val="bottom"/>
            <w:tcBorders>
              <w:bottom w:val="single" w:sz="8" w:color="auto"/>
            </w:tcBorders>
            <w:shd w:val="clear" w:color="auto" w:fill="E5E5E5"/>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Christiana Stamoulis</w:t>
            </w:r>
          </w:p>
        </w:tc>
        <w:tc>
          <w:tcPr>
            <w:tcW w:w="1760" w:type="dxa"/>
            <w:vAlign w:val="bottom"/>
            <w:tcBorders>
              <w:bottom w:val="single" w:sz="8" w:color="auto"/>
            </w:tcBorders>
            <w:shd w:val="clear" w:color="auto" w:fill="E5E5E5"/>
          </w:tcPr>
          <w:p>
            <w:pPr>
              <w:ind w:left="16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7,067</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4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15,249</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7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22,316</w:t>
            </w:r>
            <w:r>
              <w:rPr>
                <w:rFonts w:ascii="Arial" w:cs="Arial" w:eastAsia="Arial" w:hAnsi="Arial"/>
                <w:sz w:val="28"/>
                <w:szCs w:val="28"/>
                <w:color w:val="auto"/>
                <w:vertAlign w:val="subscript"/>
              </w:rPr>
              <w:t>​​</w:t>
            </w:r>
          </w:p>
        </w:tc>
      </w:tr>
      <w:tr>
        <w:trPr>
          <w:trHeight w:val="250"/>
        </w:trPr>
        <w:tc>
          <w:tcPr>
            <w:tcW w:w="31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Henriette Nielsen</w:t>
            </w:r>
          </w:p>
        </w:tc>
        <w:tc>
          <w:tcPr>
            <w:tcW w:w="17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22,250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464,443</w:t>
            </w:r>
          </w:p>
        </w:tc>
        <w:tc>
          <w:tcPr>
            <w:tcW w:w="11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14,230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74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500,923</w:t>
            </w:r>
            <w:r>
              <w:rPr>
                <w:rFonts w:ascii="Arial" w:cs="Arial" w:eastAsia="Arial" w:hAnsi="Arial"/>
                <w:sz w:val="28"/>
                <w:szCs w:val="28"/>
                <w:color w:val="auto"/>
                <w:vertAlign w:val="subscript"/>
              </w:rPr>
              <w:t>​​</w:t>
            </w:r>
          </w:p>
        </w:tc>
      </w:tr>
      <w:tr>
        <w:trPr>
          <w:trHeight w:val="250"/>
        </w:trPr>
        <w:tc>
          <w:tcPr>
            <w:tcW w:w="3180" w:type="dxa"/>
            <w:vAlign w:val="bottom"/>
            <w:tcBorders>
              <w:bottom w:val="single" w:sz="8" w:color="auto"/>
            </w:tcBorders>
            <w:shd w:val="clear" w:color="auto" w:fill="E5E5E5"/>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Lisa French</w:t>
            </w:r>
          </w:p>
        </w:tc>
        <w:tc>
          <w:tcPr>
            <w:tcW w:w="1760" w:type="dxa"/>
            <w:vAlign w:val="bottom"/>
            <w:tcBorders>
              <w:bottom w:val="single" w:sz="8" w:color="auto"/>
            </w:tcBorders>
            <w:shd w:val="clear" w:color="auto" w:fill="E5E5E5"/>
          </w:tcPr>
          <w:p>
            <w:pPr>
              <w:ind w:left="16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22,250</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4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6"/>
                <w:szCs w:val="16"/>
                <w:color w:val="auto"/>
              </w:rPr>
              <w:t>460,491</w:t>
            </w:r>
          </w:p>
        </w:tc>
        <w:tc>
          <w:tcPr>
            <w:tcW w:w="118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23,079</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7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505,820</w:t>
            </w:r>
            <w:r>
              <w:rPr>
                <w:rFonts w:ascii="Arial" w:cs="Arial" w:eastAsia="Arial" w:hAnsi="Arial"/>
                <w:sz w:val="28"/>
                <w:szCs w:val="28"/>
                <w:color w:val="auto"/>
                <w:vertAlign w:val="subscript"/>
              </w:rPr>
              <w:t>​​</w:t>
            </w:r>
          </w:p>
        </w:tc>
      </w:tr>
      <w:tr>
        <w:trPr>
          <w:trHeight w:val="250"/>
        </w:trPr>
        <w:tc>
          <w:tcPr>
            <w:tcW w:w="31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Mark A. Tyndall</w:t>
            </w:r>
          </w:p>
        </w:tc>
        <w:tc>
          <w:tcPr>
            <w:tcW w:w="17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22,250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459,751</w:t>
            </w:r>
          </w:p>
        </w:tc>
        <w:tc>
          <w:tcPr>
            <w:tcW w:w="11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10,830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74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492,831</w:t>
            </w:r>
            <w:r>
              <w:rPr>
                <w:rFonts w:ascii="Arial" w:cs="Arial" w:eastAsia="Arial" w:hAnsi="Arial"/>
                <w:sz w:val="28"/>
                <w:szCs w:val="28"/>
                <w:color w:val="auto"/>
                <w:vertAlign w:val="subscript"/>
              </w:rPr>
              <w:t>​​</w:t>
            </w:r>
          </w:p>
        </w:tc>
      </w:tr>
      <w:tr>
        <w:trPr>
          <w:trHeight w:val="237"/>
        </w:trPr>
        <w:tc>
          <w:tcPr>
            <w:tcW w:w="31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6"/>
                <w:szCs w:val="16"/>
                <w:color w:val="auto"/>
              </w:rPr>
              <w:t>​Bryan M. Reasons</w:t>
            </w:r>
          </w:p>
        </w:tc>
        <w:tc>
          <w:tcPr>
            <w:tcW w:w="1760" w:type="dxa"/>
            <w:vAlign w:val="bottom"/>
            <w:tcBorders>
              <w:bottom w:val="single" w:sz="8" w:color="auto"/>
            </w:tcBorders>
            <w:shd w:val="clear" w:color="auto" w:fill="E5E5E5"/>
          </w:tcPr>
          <w:p>
            <w:pPr>
              <w:ind w:left="16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22,250</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6"/>
                <w:szCs w:val="16"/>
                <w:color w:val="auto"/>
              </w:rPr>
              <w:t>553,779</w:t>
            </w:r>
          </w:p>
        </w:tc>
        <w:tc>
          <w:tcPr>
            <w:tcW w:w="192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6"/>
                <w:szCs w:val="16"/>
                <w:color w:val="auto"/>
              </w:rPr>
              <w:t>​​ ​​687,751​​ ​​1,263,780​​</w:t>
            </w:r>
          </w:p>
        </w:tc>
      </w:tr>
    </w:tbl>
    <w:p>
      <w:pPr>
        <w:spacing w:after="0" w:line="136" w:lineRule="exact"/>
        <w:rPr>
          <w:sz w:val="20"/>
          <w:szCs w:val="20"/>
          <w:color w:val="auto"/>
        </w:rPr>
      </w:pPr>
    </w:p>
    <w:p>
      <w:pPr>
        <w:ind w:left="1400" w:right="60" w:hanging="368"/>
        <w:spacing w:after="0" w:line="255" w:lineRule="auto"/>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(i) legal fee reimbursements for Mr. Olafsson and Ms. Stamoulis related to their 2025 employment agreements of $28,588 and $13,400, respectively, (ii) amounts related to long-term disability insurance payments of $9,060 for Mr. Olafsson, $1,849 for Ms. Stamoulis, $9,245 for Ms. Nielsen, $9,060 for Ms. French, $5,740 for Mr. Tyndall, and $6,459 for Mr. Reasons, (iii) amounts related to financial planning services of $3,815 for Ms. Nielsen, $3,920 for Mr. Tyndall, and $1,300 for Mr. Reasons, (iv) $12,849 grossed up for expenses incurred by Ms. French and her spouse for their requested attendance at an annual national sales recognition program, and (v) amounts related to data scrub services of $1,170 for each of the NEOs except Ms. Stamoulis.</w:t>
      </w:r>
    </w:p>
    <w:p>
      <w:pPr>
        <w:spacing w:after="0" w:line="45" w:lineRule="exact"/>
        <w:rPr>
          <w:rFonts w:ascii="Arial" w:cs="Arial" w:eastAsia="Arial" w:hAnsi="Arial"/>
          <w:sz w:val="13"/>
          <w:szCs w:val="13"/>
          <w:color w:val="auto"/>
        </w:rPr>
      </w:pPr>
    </w:p>
    <w:p>
      <w:pPr>
        <w:ind w:left="1400" w:right="80" w:hanging="368"/>
        <w:spacing w:after="0" w:line="250" w:lineRule="auto"/>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severance amounts totaling $678,822 related to Mr. Reasons’s departure. In connection with Mr. Reasons’s departure on September 30, 2025, he was entitled to receive certain severance-related payments, including (i) installment payments totaling $1,771,539, equal to 1.5 times the sum of his then-current base salary and target bonus (of which $265,731 was paid, and thus reported, in fiscal 2025), (ii) a lump sum payment of $385,178, representing a prorated portion of his 2025 bonus target under the 2025 STIP, (iii) a lump sum payment of $27,913, equal to 18 months’ of the difference between the applicable COBRA premium and the current benefit plan options in which Mr. Reasons was enrolled, and (iv) the cost of 12 months’ outplacement services, if Mr. Reasons elects to utilize such services. Does not include amounts in the “Stock Awards” column reflecting the incremental fair value of an accounting modification made in 2025 to the 2024 Reasons RSUs in connection with Mr. Reasons’s departure, as further described in footnote 2 to the Summary Compensation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​34 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Grants of Plan-Based Awards</w:t>
      </w:r>
    </w:p>
    <w:p>
      <w:pPr>
        <w:spacing w:after="0" w:line="112" w:lineRule="exact"/>
        <w:rPr>
          <w:sz w:val="20"/>
          <w:szCs w:val="20"/>
          <w:color w:val="auto"/>
        </w:rPr>
      </w:pPr>
    </w:p>
    <w:p>
      <w:pPr>
        <w:ind w:left="680" w:right="100"/>
        <w:spacing w:after="0" w:line="292" w:lineRule="auto"/>
        <w:rPr>
          <w:sz w:val="20"/>
          <w:szCs w:val="20"/>
          <w:color w:val="auto"/>
        </w:rPr>
      </w:pPr>
      <w:r>
        <w:rPr>
          <w:rFonts w:ascii="Arial" w:cs="Arial" w:eastAsia="Arial" w:hAnsi="Arial"/>
          <w:sz w:val="16"/>
          <w:szCs w:val="16"/>
          <w:color w:val="auto"/>
        </w:rPr>
        <w:t>The following table provides information concerning the awards granted to each of our NEOs in fiscal 2025 under the STIP and 2025 Plan. For a more complete understanding of the table, please read the footnotes that follow the table, as well as the related discussion in the CD&amp;A.</w:t>
      </w:r>
    </w:p>
    <w:p>
      <w:pPr>
        <w:spacing w:after="0" w:line="16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00514B"/>
        </w:rPr>
        <w:t>Fiscal 2025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111760</wp:posOffset>
            </wp:positionV>
            <wp:extent cx="68580" cy="9861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986155"/>
                    </a:xfrm>
                    <a:prstGeom prst="rect">
                      <a:avLst/>
                    </a:prstGeom>
                    <a:noFill/>
                  </pic:spPr>
                </pic:pic>
              </a:graphicData>
            </a:graphic>
          </wp:anchor>
        </w:drawing>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20" w:type="dxa"/>
            <w:vAlign w:val="bottom"/>
            <w:shd w:val="clear" w:color="auto" w:fill="B2EEDE"/>
          </w:tcPr>
          <w:p>
            <w:pPr>
              <w:spacing w:after="0"/>
              <w:rPr>
                <w:sz w:val="20"/>
                <w:szCs w:val="20"/>
                <w:color w:val="auto"/>
              </w:rPr>
            </w:pPr>
          </w:p>
        </w:tc>
        <w:tc>
          <w:tcPr>
            <w:tcW w:w="1360" w:type="dxa"/>
            <w:vAlign w:val="bottom"/>
            <w:shd w:val="clear" w:color="auto" w:fill="B2EEDE"/>
          </w:tcPr>
          <w:p>
            <w:pPr>
              <w:spacing w:after="0"/>
              <w:rPr>
                <w:sz w:val="20"/>
                <w:szCs w:val="20"/>
                <w:color w:val="auto"/>
              </w:rPr>
            </w:pPr>
          </w:p>
        </w:tc>
        <w:tc>
          <w:tcPr>
            <w:tcW w:w="740" w:type="dxa"/>
            <w:vAlign w:val="bottom"/>
            <w:shd w:val="clear" w:color="auto" w:fill="B2EEDE"/>
          </w:tcPr>
          <w:p>
            <w:pPr>
              <w:spacing w:after="0"/>
              <w:rPr>
                <w:sz w:val="20"/>
                <w:szCs w:val="20"/>
                <w:color w:val="auto"/>
              </w:rPr>
            </w:pPr>
          </w:p>
        </w:tc>
        <w:tc>
          <w:tcPr>
            <w:tcW w:w="160" w:type="dxa"/>
            <w:vAlign w:val="bottom"/>
            <w:shd w:val="clear" w:color="auto" w:fill="B2EEDE"/>
          </w:tcPr>
          <w:p>
            <w:pPr>
              <w:spacing w:after="0"/>
              <w:rPr>
                <w:sz w:val="20"/>
                <w:szCs w:val="20"/>
                <w:color w:val="auto"/>
              </w:rPr>
            </w:pPr>
          </w:p>
        </w:tc>
        <w:tc>
          <w:tcPr>
            <w:tcW w:w="200" w:type="dxa"/>
            <w:vAlign w:val="bottom"/>
            <w:shd w:val="clear" w:color="auto" w:fill="B2EEDE"/>
          </w:tcPr>
          <w:p>
            <w:pPr>
              <w:spacing w:after="0"/>
              <w:rPr>
                <w:sz w:val="20"/>
                <w:szCs w:val="20"/>
                <w:color w:val="auto"/>
              </w:rPr>
            </w:pPr>
          </w:p>
        </w:tc>
        <w:tc>
          <w:tcPr>
            <w:tcW w:w="400" w:type="dxa"/>
            <w:vAlign w:val="bottom"/>
            <w:shd w:val="clear" w:color="auto" w:fill="B2EEDE"/>
          </w:tcPr>
          <w:p>
            <w:pPr>
              <w:spacing w:after="0"/>
              <w:rPr>
                <w:sz w:val="20"/>
                <w:szCs w:val="20"/>
                <w:color w:val="auto"/>
              </w:rPr>
            </w:pPr>
          </w:p>
        </w:tc>
        <w:tc>
          <w:tcPr>
            <w:tcW w:w="500" w:type="dxa"/>
            <w:vAlign w:val="bottom"/>
            <w:shd w:val="clear" w:color="auto" w:fill="B2EEDE"/>
          </w:tcPr>
          <w:p>
            <w:pPr>
              <w:spacing w:after="0"/>
              <w:rPr>
                <w:sz w:val="20"/>
                <w:szCs w:val="20"/>
                <w:color w:val="auto"/>
              </w:rPr>
            </w:pPr>
          </w:p>
        </w:tc>
        <w:tc>
          <w:tcPr>
            <w:tcW w:w="520" w:type="dxa"/>
            <w:vAlign w:val="bottom"/>
            <w:shd w:val="clear" w:color="auto" w:fill="B2EEDE"/>
          </w:tcPr>
          <w:p>
            <w:pPr>
              <w:spacing w:after="0"/>
              <w:rPr>
                <w:sz w:val="20"/>
                <w:szCs w:val="20"/>
                <w:color w:val="auto"/>
              </w:rPr>
            </w:pPr>
          </w:p>
        </w:tc>
        <w:tc>
          <w:tcPr>
            <w:tcW w:w="380" w:type="dxa"/>
            <w:vAlign w:val="bottom"/>
            <w:shd w:val="clear" w:color="auto" w:fill="B2EEDE"/>
          </w:tcPr>
          <w:p>
            <w:pPr>
              <w:spacing w:after="0"/>
              <w:rPr>
                <w:sz w:val="20"/>
                <w:szCs w:val="20"/>
                <w:color w:val="auto"/>
              </w:rPr>
            </w:pPr>
          </w:p>
        </w:tc>
        <w:tc>
          <w:tcPr>
            <w:tcW w:w="560" w:type="dxa"/>
            <w:vAlign w:val="bottom"/>
            <w:shd w:val="clear" w:color="auto" w:fill="B2EEDE"/>
          </w:tcPr>
          <w:p>
            <w:pPr>
              <w:spacing w:after="0"/>
              <w:rPr>
                <w:sz w:val="20"/>
                <w:szCs w:val="20"/>
                <w:color w:val="auto"/>
              </w:rPr>
            </w:pPr>
          </w:p>
        </w:tc>
        <w:tc>
          <w:tcPr>
            <w:tcW w:w="200" w:type="dxa"/>
            <w:vAlign w:val="bottom"/>
            <w:shd w:val="clear" w:color="auto" w:fill="B2EEDE"/>
          </w:tcPr>
          <w:p>
            <w:pPr>
              <w:spacing w:after="0"/>
              <w:rPr>
                <w:sz w:val="20"/>
                <w:szCs w:val="20"/>
                <w:color w:val="auto"/>
              </w:rPr>
            </w:pPr>
          </w:p>
        </w:tc>
        <w:tc>
          <w:tcPr>
            <w:tcW w:w="740" w:type="dxa"/>
            <w:vAlign w:val="bottom"/>
            <w:shd w:val="clear" w:color="auto" w:fill="B2EEDE"/>
          </w:tcPr>
          <w:p>
            <w:pPr>
              <w:spacing w:after="0"/>
              <w:rPr>
                <w:sz w:val="20"/>
                <w:szCs w:val="20"/>
                <w:color w:val="auto"/>
              </w:rPr>
            </w:pPr>
          </w:p>
        </w:tc>
        <w:tc>
          <w:tcPr>
            <w:tcW w:w="160" w:type="dxa"/>
            <w:vAlign w:val="bottom"/>
            <w:shd w:val="clear" w:color="auto" w:fill="B2EEDE"/>
          </w:tcPr>
          <w:p>
            <w:pPr>
              <w:spacing w:after="0"/>
              <w:rPr>
                <w:sz w:val="20"/>
                <w:szCs w:val="20"/>
                <w:color w:val="auto"/>
              </w:rPr>
            </w:pPr>
          </w:p>
        </w:tc>
        <w:tc>
          <w:tcPr>
            <w:tcW w:w="480" w:type="dxa"/>
            <w:vAlign w:val="bottom"/>
            <w:shd w:val="clear" w:color="auto" w:fill="B2EEDE"/>
          </w:tcPr>
          <w:p>
            <w:pPr>
              <w:spacing w:after="0"/>
              <w:rPr>
                <w:sz w:val="20"/>
                <w:szCs w:val="20"/>
                <w:color w:val="auto"/>
              </w:rPr>
            </w:pPr>
          </w:p>
        </w:tc>
        <w:tc>
          <w:tcPr>
            <w:tcW w:w="160" w:type="dxa"/>
            <w:vAlign w:val="bottom"/>
            <w:shd w:val="clear" w:color="auto" w:fill="B2EEDE"/>
          </w:tcPr>
          <w:p>
            <w:pPr>
              <w:spacing w:after="0"/>
              <w:rPr>
                <w:sz w:val="20"/>
                <w:szCs w:val="20"/>
                <w:color w:val="auto"/>
              </w:rPr>
            </w:pPr>
          </w:p>
        </w:tc>
        <w:tc>
          <w:tcPr>
            <w:tcW w:w="720" w:type="dxa"/>
            <w:vAlign w:val="bottom"/>
            <w:shd w:val="clear" w:color="auto" w:fill="B2EEDE"/>
          </w:tcPr>
          <w:p>
            <w:pPr>
              <w:spacing w:after="0"/>
              <w:rPr>
                <w:sz w:val="20"/>
                <w:szCs w:val="20"/>
                <w:color w:val="auto"/>
              </w:rPr>
            </w:pPr>
          </w:p>
        </w:tc>
        <w:tc>
          <w:tcPr>
            <w:tcW w:w="80" w:type="dxa"/>
            <w:vAlign w:val="bottom"/>
            <w:shd w:val="clear" w:color="auto" w:fill="B2EEDE"/>
          </w:tcPr>
          <w:p>
            <w:pPr>
              <w:spacing w:after="0"/>
              <w:rPr>
                <w:sz w:val="20"/>
                <w:szCs w:val="20"/>
                <w:color w:val="auto"/>
              </w:rPr>
            </w:pPr>
          </w:p>
        </w:tc>
        <w:tc>
          <w:tcPr>
            <w:tcW w:w="100" w:type="dxa"/>
            <w:vAlign w:val="bottom"/>
            <w:shd w:val="clear" w:color="auto" w:fill="B2EEDE"/>
          </w:tcPr>
          <w:p>
            <w:pPr>
              <w:spacing w:after="0"/>
              <w:rPr>
                <w:sz w:val="20"/>
                <w:szCs w:val="20"/>
                <w:color w:val="auto"/>
              </w:rPr>
            </w:pPr>
          </w:p>
        </w:tc>
        <w:tc>
          <w:tcPr>
            <w:tcW w:w="74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shd w:val="clear" w:color="auto" w:fill="B2EEDE"/>
          </w:tcPr>
          <w:p>
            <w:pPr>
              <w:spacing w:after="0"/>
              <w:rPr>
                <w:sz w:val="20"/>
                <w:szCs w:val="20"/>
                <w:color w:val="auto"/>
              </w:rPr>
            </w:pPr>
          </w:p>
        </w:tc>
        <w:tc>
          <w:tcPr>
            <w:tcW w:w="720" w:type="dxa"/>
            <w:vAlign w:val="bottom"/>
            <w:shd w:val="clear" w:color="auto" w:fill="B2EEDE"/>
          </w:tcPr>
          <w:p>
            <w:pPr>
              <w:spacing w:after="0"/>
              <w:rPr>
                <w:sz w:val="20"/>
                <w:szCs w:val="20"/>
                <w:color w:val="auto"/>
              </w:rPr>
            </w:pPr>
          </w:p>
        </w:tc>
        <w:tc>
          <w:tcPr>
            <w:tcW w:w="60" w:type="dxa"/>
            <w:vAlign w:val="bottom"/>
            <w:shd w:val="clear" w:color="auto" w:fill="B2EEDE"/>
          </w:tcPr>
          <w:p>
            <w:pPr>
              <w:spacing w:after="0"/>
              <w:rPr>
                <w:sz w:val="20"/>
                <w:szCs w:val="20"/>
                <w:color w:val="auto"/>
              </w:rPr>
            </w:pPr>
          </w:p>
        </w:tc>
        <w:tc>
          <w:tcPr>
            <w:tcW w:w="120" w:type="dxa"/>
            <w:vAlign w:val="bottom"/>
            <w:shd w:val="clear" w:color="auto" w:fill="B2EED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B2EEDE"/>
          </w:tcPr>
          <w:p>
            <w:pPr>
              <w:spacing w:after="0"/>
              <w:rPr>
                <w:sz w:val="16"/>
                <w:szCs w:val="16"/>
                <w:color w:val="auto"/>
              </w:rPr>
            </w:pPr>
          </w:p>
        </w:tc>
        <w:tc>
          <w:tcPr>
            <w:tcW w:w="1360" w:type="dxa"/>
            <w:vAlign w:val="bottom"/>
            <w:shd w:val="clear" w:color="auto" w:fill="B2EEDE"/>
          </w:tcPr>
          <w:p>
            <w:pPr>
              <w:spacing w:after="0"/>
              <w:rPr>
                <w:sz w:val="16"/>
                <w:szCs w:val="16"/>
                <w:color w:val="auto"/>
              </w:rPr>
            </w:pPr>
          </w:p>
        </w:tc>
        <w:tc>
          <w:tcPr>
            <w:tcW w:w="740" w:type="dxa"/>
            <w:vAlign w:val="bottom"/>
            <w:shd w:val="clear" w:color="auto" w:fill="B2EEDE"/>
          </w:tcPr>
          <w:p>
            <w:pPr>
              <w:spacing w:after="0"/>
              <w:rPr>
                <w:sz w:val="16"/>
                <w:szCs w:val="16"/>
                <w:color w:val="auto"/>
              </w:rPr>
            </w:pPr>
          </w:p>
        </w:tc>
        <w:tc>
          <w:tcPr>
            <w:tcW w:w="160" w:type="dxa"/>
            <w:vAlign w:val="bottom"/>
            <w:shd w:val="clear" w:color="auto" w:fill="B2EEDE"/>
          </w:tcPr>
          <w:p>
            <w:pPr>
              <w:spacing w:after="0"/>
              <w:rPr>
                <w:sz w:val="16"/>
                <w:szCs w:val="16"/>
                <w:color w:val="auto"/>
              </w:rPr>
            </w:pPr>
          </w:p>
        </w:tc>
        <w:tc>
          <w:tcPr>
            <w:tcW w:w="200" w:type="dxa"/>
            <w:vAlign w:val="bottom"/>
            <w:shd w:val="clear" w:color="auto" w:fill="B2EEDE"/>
          </w:tcPr>
          <w:p>
            <w:pPr>
              <w:spacing w:after="0"/>
              <w:rPr>
                <w:sz w:val="16"/>
                <w:szCs w:val="16"/>
                <w:color w:val="auto"/>
              </w:rPr>
            </w:pPr>
          </w:p>
        </w:tc>
        <w:tc>
          <w:tcPr>
            <w:tcW w:w="400" w:type="dxa"/>
            <w:vAlign w:val="bottom"/>
            <w:shd w:val="clear" w:color="auto" w:fill="B2EEDE"/>
          </w:tcPr>
          <w:p>
            <w:pPr>
              <w:spacing w:after="0"/>
              <w:rPr>
                <w:sz w:val="16"/>
                <w:szCs w:val="16"/>
                <w:color w:val="auto"/>
              </w:rPr>
            </w:pPr>
          </w:p>
        </w:tc>
        <w:tc>
          <w:tcPr>
            <w:tcW w:w="500" w:type="dxa"/>
            <w:vAlign w:val="bottom"/>
            <w:shd w:val="clear" w:color="auto" w:fill="B2EEDE"/>
          </w:tcPr>
          <w:p>
            <w:pPr>
              <w:spacing w:after="0"/>
              <w:rPr>
                <w:sz w:val="16"/>
                <w:szCs w:val="16"/>
                <w:color w:val="auto"/>
              </w:rPr>
            </w:pPr>
          </w:p>
        </w:tc>
        <w:tc>
          <w:tcPr>
            <w:tcW w:w="520" w:type="dxa"/>
            <w:vAlign w:val="bottom"/>
            <w:shd w:val="clear" w:color="auto" w:fill="B2EEDE"/>
          </w:tcPr>
          <w:p>
            <w:pPr>
              <w:spacing w:after="0"/>
              <w:rPr>
                <w:sz w:val="16"/>
                <w:szCs w:val="16"/>
                <w:color w:val="auto"/>
              </w:rPr>
            </w:pPr>
          </w:p>
        </w:tc>
        <w:tc>
          <w:tcPr>
            <w:tcW w:w="380" w:type="dxa"/>
            <w:vAlign w:val="bottom"/>
            <w:shd w:val="clear" w:color="auto" w:fill="B2EEDE"/>
          </w:tcPr>
          <w:p>
            <w:pPr>
              <w:spacing w:after="0"/>
              <w:rPr>
                <w:sz w:val="16"/>
                <w:szCs w:val="16"/>
                <w:color w:val="auto"/>
              </w:rPr>
            </w:pPr>
          </w:p>
        </w:tc>
        <w:tc>
          <w:tcPr>
            <w:tcW w:w="560" w:type="dxa"/>
            <w:vAlign w:val="bottom"/>
            <w:shd w:val="clear" w:color="auto" w:fill="B2EEDE"/>
          </w:tcPr>
          <w:p>
            <w:pPr>
              <w:spacing w:after="0"/>
              <w:rPr>
                <w:sz w:val="16"/>
                <w:szCs w:val="16"/>
                <w:color w:val="auto"/>
              </w:rPr>
            </w:pPr>
          </w:p>
        </w:tc>
        <w:tc>
          <w:tcPr>
            <w:tcW w:w="200" w:type="dxa"/>
            <w:vAlign w:val="bottom"/>
            <w:shd w:val="clear" w:color="auto" w:fill="B2EEDE"/>
          </w:tcPr>
          <w:p>
            <w:pPr>
              <w:spacing w:after="0"/>
              <w:rPr>
                <w:sz w:val="16"/>
                <w:szCs w:val="16"/>
                <w:color w:val="auto"/>
              </w:rPr>
            </w:pPr>
          </w:p>
        </w:tc>
        <w:tc>
          <w:tcPr>
            <w:tcW w:w="740" w:type="dxa"/>
            <w:vAlign w:val="bottom"/>
            <w:shd w:val="clear" w:color="auto" w:fill="B2EEDE"/>
          </w:tcPr>
          <w:p>
            <w:pPr>
              <w:spacing w:after="0"/>
              <w:rPr>
                <w:sz w:val="16"/>
                <w:szCs w:val="16"/>
                <w:color w:val="auto"/>
              </w:rPr>
            </w:pPr>
          </w:p>
        </w:tc>
        <w:tc>
          <w:tcPr>
            <w:tcW w:w="160" w:type="dxa"/>
            <w:vAlign w:val="bottom"/>
            <w:shd w:val="clear" w:color="auto" w:fill="B2EEDE"/>
          </w:tcPr>
          <w:p>
            <w:pPr>
              <w:spacing w:after="0"/>
              <w:rPr>
                <w:sz w:val="16"/>
                <w:szCs w:val="16"/>
                <w:color w:val="auto"/>
              </w:rPr>
            </w:pPr>
          </w:p>
        </w:tc>
        <w:tc>
          <w:tcPr>
            <w:tcW w:w="480" w:type="dxa"/>
            <w:vAlign w:val="bottom"/>
            <w:shd w:val="clear" w:color="auto" w:fill="B2EEDE"/>
          </w:tcPr>
          <w:p>
            <w:pPr>
              <w:spacing w:after="0"/>
              <w:rPr>
                <w:sz w:val="16"/>
                <w:szCs w:val="16"/>
                <w:color w:val="auto"/>
              </w:rPr>
            </w:pPr>
          </w:p>
        </w:tc>
        <w:tc>
          <w:tcPr>
            <w:tcW w:w="160" w:type="dxa"/>
            <w:vAlign w:val="bottom"/>
            <w:shd w:val="clear" w:color="auto" w:fill="B2EEDE"/>
          </w:tcPr>
          <w:p>
            <w:pPr>
              <w:spacing w:after="0"/>
              <w:rPr>
                <w:sz w:val="16"/>
                <w:szCs w:val="16"/>
                <w:color w:val="auto"/>
              </w:rPr>
            </w:pPr>
          </w:p>
        </w:tc>
        <w:tc>
          <w:tcPr>
            <w:tcW w:w="720" w:type="dxa"/>
            <w:vAlign w:val="bottom"/>
            <w:shd w:val="clear" w:color="auto" w:fill="B2EEDE"/>
          </w:tcPr>
          <w:p>
            <w:pPr>
              <w:spacing w:after="0"/>
              <w:rPr>
                <w:sz w:val="16"/>
                <w:szCs w:val="16"/>
                <w:color w:val="auto"/>
              </w:rPr>
            </w:pPr>
          </w:p>
        </w:tc>
        <w:tc>
          <w:tcPr>
            <w:tcW w:w="80" w:type="dxa"/>
            <w:vAlign w:val="bottom"/>
            <w:shd w:val="clear" w:color="auto" w:fill="B2EEDE"/>
          </w:tcPr>
          <w:p>
            <w:pPr>
              <w:spacing w:after="0"/>
              <w:rPr>
                <w:sz w:val="16"/>
                <w:szCs w:val="16"/>
                <w:color w:val="auto"/>
              </w:rPr>
            </w:pPr>
          </w:p>
        </w:tc>
        <w:tc>
          <w:tcPr>
            <w:tcW w:w="100" w:type="dxa"/>
            <w:vAlign w:val="bottom"/>
            <w:shd w:val="clear" w:color="auto" w:fill="B2EEDE"/>
          </w:tcPr>
          <w:p>
            <w:pPr>
              <w:spacing w:after="0"/>
              <w:rPr>
                <w:sz w:val="16"/>
                <w:szCs w:val="16"/>
                <w:color w:val="auto"/>
              </w:rPr>
            </w:pPr>
          </w:p>
        </w:tc>
        <w:tc>
          <w:tcPr>
            <w:tcW w:w="640" w:type="dxa"/>
            <w:vAlign w:val="bottom"/>
            <w:shd w:val="clear" w:color="auto" w:fill="B2EEDE"/>
          </w:tcPr>
          <w:p>
            <w:pPr>
              <w:jc w:val="center"/>
              <w:ind w:left="10"/>
              <w:spacing w:after="0"/>
              <w:rPr>
                <w:sz w:val="20"/>
                <w:szCs w:val="20"/>
                <w:color w:val="auto"/>
              </w:rPr>
            </w:pPr>
            <w:r>
              <w:rPr>
                <w:rFonts w:ascii="Arial" w:cs="Arial" w:eastAsia="Arial" w:hAnsi="Arial"/>
                <w:sz w:val="14"/>
                <w:szCs w:val="14"/>
                <w:b w:val="1"/>
                <w:bCs w:val="1"/>
                <w:color w:val="auto"/>
              </w:rPr>
              <w:t>Stock</w:t>
            </w:r>
          </w:p>
        </w:tc>
        <w:tc>
          <w:tcPr>
            <w:tcW w:w="100" w:type="dxa"/>
            <w:vAlign w:val="bottom"/>
            <w:shd w:val="clear" w:color="auto" w:fill="B2EEDE"/>
          </w:tcPr>
          <w:p>
            <w:pPr>
              <w:spacing w:after="0"/>
              <w:rPr>
                <w:sz w:val="16"/>
                <w:szCs w:val="16"/>
                <w:color w:val="auto"/>
              </w:rPr>
            </w:pPr>
          </w:p>
        </w:tc>
        <w:tc>
          <w:tcPr>
            <w:tcW w:w="180" w:type="dxa"/>
            <w:vAlign w:val="bottom"/>
            <w:shd w:val="clear" w:color="auto" w:fill="B2EEDE"/>
          </w:tcPr>
          <w:p>
            <w:pPr>
              <w:spacing w:after="0"/>
              <w:rPr>
                <w:sz w:val="16"/>
                <w:szCs w:val="16"/>
                <w:color w:val="auto"/>
              </w:rPr>
            </w:pPr>
          </w:p>
        </w:tc>
        <w:tc>
          <w:tcPr>
            <w:tcW w:w="720" w:type="dxa"/>
            <w:vAlign w:val="bottom"/>
            <w:shd w:val="clear" w:color="auto" w:fill="B2EEDE"/>
          </w:tcPr>
          <w:p>
            <w:pPr>
              <w:spacing w:after="0"/>
              <w:rPr>
                <w:sz w:val="16"/>
                <w:szCs w:val="16"/>
                <w:color w:val="auto"/>
              </w:rPr>
            </w:pPr>
          </w:p>
        </w:tc>
        <w:tc>
          <w:tcPr>
            <w:tcW w:w="60" w:type="dxa"/>
            <w:vAlign w:val="bottom"/>
            <w:shd w:val="clear" w:color="auto" w:fill="B2EEDE"/>
          </w:tcPr>
          <w:p>
            <w:pPr>
              <w:spacing w:after="0"/>
              <w:rPr>
                <w:sz w:val="16"/>
                <w:szCs w:val="16"/>
                <w:color w:val="auto"/>
              </w:rPr>
            </w:pPr>
          </w:p>
        </w:tc>
        <w:tc>
          <w:tcPr>
            <w:tcW w:w="120" w:type="dxa"/>
            <w:vAlign w:val="bottom"/>
            <w:shd w:val="clear" w:color="auto" w:fill="B2EED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B2EEDE"/>
          </w:tcPr>
          <w:p>
            <w:pPr>
              <w:spacing w:after="0"/>
              <w:rPr>
                <w:sz w:val="15"/>
                <w:szCs w:val="15"/>
                <w:color w:val="auto"/>
              </w:rPr>
            </w:pPr>
          </w:p>
        </w:tc>
        <w:tc>
          <w:tcPr>
            <w:tcW w:w="1360" w:type="dxa"/>
            <w:vAlign w:val="bottom"/>
            <w:shd w:val="clear" w:color="auto" w:fill="B2EEDE"/>
          </w:tcPr>
          <w:p>
            <w:pPr>
              <w:spacing w:after="0"/>
              <w:rPr>
                <w:sz w:val="15"/>
                <w:szCs w:val="15"/>
                <w:color w:val="auto"/>
              </w:rPr>
            </w:pPr>
          </w:p>
        </w:tc>
        <w:tc>
          <w:tcPr>
            <w:tcW w:w="740" w:type="dxa"/>
            <w:vAlign w:val="bottom"/>
            <w:shd w:val="clear" w:color="auto" w:fill="B2EEDE"/>
          </w:tcPr>
          <w:p>
            <w:pPr>
              <w:spacing w:after="0"/>
              <w:rPr>
                <w:sz w:val="15"/>
                <w:szCs w:val="15"/>
                <w:color w:val="auto"/>
              </w:rPr>
            </w:pPr>
          </w:p>
        </w:tc>
        <w:tc>
          <w:tcPr>
            <w:tcW w:w="16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400" w:type="dxa"/>
            <w:vAlign w:val="bottom"/>
            <w:shd w:val="clear" w:color="auto" w:fill="B2EEDE"/>
          </w:tcPr>
          <w:p>
            <w:pPr>
              <w:spacing w:after="0"/>
              <w:rPr>
                <w:sz w:val="15"/>
                <w:szCs w:val="15"/>
                <w:color w:val="auto"/>
              </w:rPr>
            </w:pPr>
          </w:p>
        </w:tc>
        <w:tc>
          <w:tcPr>
            <w:tcW w:w="500" w:type="dxa"/>
            <w:vAlign w:val="bottom"/>
            <w:shd w:val="clear" w:color="auto" w:fill="B2EEDE"/>
          </w:tcPr>
          <w:p>
            <w:pPr>
              <w:spacing w:after="0"/>
              <w:rPr>
                <w:sz w:val="15"/>
                <w:szCs w:val="15"/>
                <w:color w:val="auto"/>
              </w:rPr>
            </w:pPr>
          </w:p>
        </w:tc>
        <w:tc>
          <w:tcPr>
            <w:tcW w:w="520" w:type="dxa"/>
            <w:vAlign w:val="bottom"/>
            <w:shd w:val="clear" w:color="auto" w:fill="B2EEDE"/>
          </w:tcPr>
          <w:p>
            <w:pPr>
              <w:spacing w:after="0"/>
              <w:rPr>
                <w:sz w:val="15"/>
                <w:szCs w:val="15"/>
                <w:color w:val="auto"/>
              </w:rPr>
            </w:pPr>
          </w:p>
        </w:tc>
        <w:tc>
          <w:tcPr>
            <w:tcW w:w="380" w:type="dxa"/>
            <w:vAlign w:val="bottom"/>
            <w:shd w:val="clear" w:color="auto" w:fill="B2EEDE"/>
          </w:tcPr>
          <w:p>
            <w:pPr>
              <w:spacing w:after="0"/>
              <w:rPr>
                <w:sz w:val="15"/>
                <w:szCs w:val="15"/>
                <w:color w:val="auto"/>
              </w:rPr>
            </w:pPr>
          </w:p>
        </w:tc>
        <w:tc>
          <w:tcPr>
            <w:tcW w:w="56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740" w:type="dxa"/>
            <w:vAlign w:val="bottom"/>
            <w:shd w:val="clear" w:color="auto" w:fill="B2EEDE"/>
          </w:tcPr>
          <w:p>
            <w:pPr>
              <w:spacing w:after="0"/>
              <w:rPr>
                <w:sz w:val="15"/>
                <w:szCs w:val="15"/>
                <w:color w:val="auto"/>
              </w:rPr>
            </w:pPr>
          </w:p>
        </w:tc>
        <w:tc>
          <w:tcPr>
            <w:tcW w:w="160" w:type="dxa"/>
            <w:vAlign w:val="bottom"/>
            <w:shd w:val="clear" w:color="auto" w:fill="B2EEDE"/>
          </w:tcPr>
          <w:p>
            <w:pPr>
              <w:spacing w:after="0"/>
              <w:rPr>
                <w:sz w:val="15"/>
                <w:szCs w:val="15"/>
                <w:color w:val="auto"/>
              </w:rPr>
            </w:pPr>
          </w:p>
        </w:tc>
        <w:tc>
          <w:tcPr>
            <w:tcW w:w="480" w:type="dxa"/>
            <w:vAlign w:val="bottom"/>
            <w:shd w:val="clear" w:color="auto" w:fill="B2EEDE"/>
          </w:tcPr>
          <w:p>
            <w:pPr>
              <w:spacing w:after="0"/>
              <w:rPr>
                <w:sz w:val="15"/>
                <w:szCs w:val="15"/>
                <w:color w:val="auto"/>
              </w:rPr>
            </w:pPr>
          </w:p>
        </w:tc>
        <w:tc>
          <w:tcPr>
            <w:tcW w:w="160" w:type="dxa"/>
            <w:vAlign w:val="bottom"/>
            <w:shd w:val="clear" w:color="auto" w:fill="B2EEDE"/>
          </w:tcPr>
          <w:p>
            <w:pPr>
              <w:spacing w:after="0"/>
              <w:rPr>
                <w:sz w:val="15"/>
                <w:szCs w:val="15"/>
                <w:color w:val="auto"/>
              </w:rPr>
            </w:pPr>
          </w:p>
        </w:tc>
        <w:tc>
          <w:tcPr>
            <w:tcW w:w="720" w:type="dxa"/>
            <w:vAlign w:val="bottom"/>
            <w:shd w:val="clear" w:color="auto" w:fill="B2EEDE"/>
          </w:tcPr>
          <w:p>
            <w:pPr>
              <w:spacing w:after="0"/>
              <w:rPr>
                <w:sz w:val="15"/>
                <w:szCs w:val="15"/>
                <w:color w:val="auto"/>
              </w:rPr>
            </w:pPr>
          </w:p>
        </w:tc>
        <w:tc>
          <w:tcPr>
            <w:tcW w:w="8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c>
          <w:tcPr>
            <w:tcW w:w="640" w:type="dxa"/>
            <w:vAlign w:val="bottom"/>
            <w:shd w:val="clear" w:color="auto" w:fill="B2EEDE"/>
          </w:tcPr>
          <w:p>
            <w:pPr>
              <w:jc w:val="center"/>
              <w:ind w:left="10"/>
              <w:spacing w:after="0"/>
              <w:rPr>
                <w:sz w:val="20"/>
                <w:szCs w:val="20"/>
                <w:color w:val="auto"/>
              </w:rPr>
            </w:pPr>
            <w:r>
              <w:rPr>
                <w:rFonts w:ascii="Arial" w:cs="Arial" w:eastAsia="Arial" w:hAnsi="Arial"/>
                <w:sz w:val="14"/>
                <w:szCs w:val="14"/>
                <w:b w:val="1"/>
                <w:bCs w:val="1"/>
                <w:color w:val="auto"/>
              </w:rPr>
              <w:t>Awards:</w:t>
            </w:r>
          </w:p>
        </w:tc>
        <w:tc>
          <w:tcPr>
            <w:tcW w:w="100" w:type="dxa"/>
            <w:vAlign w:val="bottom"/>
            <w:shd w:val="clear" w:color="auto" w:fill="B2EEDE"/>
          </w:tcPr>
          <w:p>
            <w:pPr>
              <w:spacing w:after="0"/>
              <w:rPr>
                <w:sz w:val="15"/>
                <w:szCs w:val="15"/>
                <w:color w:val="auto"/>
              </w:rPr>
            </w:pPr>
          </w:p>
        </w:tc>
        <w:tc>
          <w:tcPr>
            <w:tcW w:w="180" w:type="dxa"/>
            <w:vAlign w:val="bottom"/>
            <w:shd w:val="clear" w:color="auto" w:fill="B2EEDE"/>
          </w:tcPr>
          <w:p>
            <w:pPr>
              <w:spacing w:after="0"/>
              <w:rPr>
                <w:sz w:val="15"/>
                <w:szCs w:val="15"/>
                <w:color w:val="auto"/>
              </w:rPr>
            </w:pPr>
          </w:p>
        </w:tc>
        <w:tc>
          <w:tcPr>
            <w:tcW w:w="78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Grant Date</w:t>
            </w:r>
          </w:p>
        </w:tc>
        <w:tc>
          <w:tcPr>
            <w:tcW w:w="1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B2EEDE"/>
          </w:tcPr>
          <w:p>
            <w:pPr>
              <w:spacing w:after="0"/>
              <w:rPr>
                <w:sz w:val="15"/>
                <w:szCs w:val="15"/>
                <w:color w:val="auto"/>
              </w:rPr>
            </w:pPr>
          </w:p>
        </w:tc>
        <w:tc>
          <w:tcPr>
            <w:tcW w:w="1360" w:type="dxa"/>
            <w:vAlign w:val="bottom"/>
            <w:shd w:val="clear" w:color="auto" w:fill="B2EEDE"/>
          </w:tcPr>
          <w:p>
            <w:pPr>
              <w:spacing w:after="0"/>
              <w:rPr>
                <w:sz w:val="15"/>
                <w:szCs w:val="15"/>
                <w:color w:val="auto"/>
              </w:rPr>
            </w:pPr>
          </w:p>
        </w:tc>
        <w:tc>
          <w:tcPr>
            <w:tcW w:w="740" w:type="dxa"/>
            <w:vAlign w:val="bottom"/>
            <w:shd w:val="clear" w:color="auto" w:fill="B2EEDE"/>
          </w:tcPr>
          <w:p>
            <w:pPr>
              <w:spacing w:after="0"/>
              <w:rPr>
                <w:sz w:val="15"/>
                <w:szCs w:val="15"/>
                <w:color w:val="auto"/>
              </w:rPr>
            </w:pPr>
          </w:p>
        </w:tc>
        <w:tc>
          <w:tcPr>
            <w:tcW w:w="160" w:type="dxa"/>
            <w:vAlign w:val="bottom"/>
            <w:shd w:val="clear" w:color="auto" w:fill="B2EEDE"/>
          </w:tcPr>
          <w:p>
            <w:pPr>
              <w:spacing w:after="0"/>
              <w:rPr>
                <w:sz w:val="15"/>
                <w:szCs w:val="15"/>
                <w:color w:val="auto"/>
              </w:rPr>
            </w:pPr>
          </w:p>
        </w:tc>
        <w:tc>
          <w:tcPr>
            <w:tcW w:w="200" w:type="dxa"/>
            <w:vAlign w:val="bottom"/>
            <w:shd w:val="clear" w:color="auto" w:fill="B2EEDE"/>
          </w:tcPr>
          <w:p>
            <w:pPr>
              <w:spacing w:after="0"/>
              <w:rPr>
                <w:sz w:val="15"/>
                <w:szCs w:val="15"/>
                <w:color w:val="auto"/>
              </w:rPr>
            </w:pPr>
          </w:p>
        </w:tc>
        <w:tc>
          <w:tcPr>
            <w:tcW w:w="2360" w:type="dxa"/>
            <w:vAlign w:val="bottom"/>
            <w:gridSpan w:val="5"/>
            <w:vMerge w:val="restart"/>
            <w:shd w:val="clear" w:color="auto" w:fill="B2EEDE"/>
          </w:tcPr>
          <w:p>
            <w:pPr>
              <w:jc w:val="center"/>
              <w:ind w:right="28"/>
              <w:spacing w:after="0"/>
              <w:rPr>
                <w:sz w:val="20"/>
                <w:szCs w:val="20"/>
                <w:color w:val="auto"/>
              </w:rPr>
            </w:pPr>
            <w:r>
              <w:rPr>
                <w:rFonts w:ascii="Arial" w:cs="Arial" w:eastAsia="Arial" w:hAnsi="Arial"/>
                <w:sz w:val="14"/>
                <w:szCs w:val="14"/>
                <w:b w:val="1"/>
                <w:bCs w:val="1"/>
                <w:color w:val="auto"/>
              </w:rPr>
              <w:t>Estimated Future Payouts Under</w:t>
            </w:r>
          </w:p>
        </w:tc>
        <w:tc>
          <w:tcPr>
            <w:tcW w:w="200" w:type="dxa"/>
            <w:vAlign w:val="bottom"/>
            <w:shd w:val="clear" w:color="auto" w:fill="B2EEDE"/>
          </w:tcPr>
          <w:p>
            <w:pPr>
              <w:spacing w:after="0"/>
              <w:rPr>
                <w:sz w:val="15"/>
                <w:szCs w:val="15"/>
                <w:color w:val="auto"/>
              </w:rPr>
            </w:pPr>
          </w:p>
        </w:tc>
        <w:tc>
          <w:tcPr>
            <w:tcW w:w="2260" w:type="dxa"/>
            <w:vAlign w:val="bottom"/>
            <w:gridSpan w:val="5"/>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8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c>
          <w:tcPr>
            <w:tcW w:w="74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w:t>
            </w:r>
          </w:p>
        </w:tc>
        <w:tc>
          <w:tcPr>
            <w:tcW w:w="180" w:type="dxa"/>
            <w:vAlign w:val="bottom"/>
            <w:shd w:val="clear" w:color="auto" w:fill="B2EEDE"/>
          </w:tcPr>
          <w:p>
            <w:pPr>
              <w:spacing w:after="0"/>
              <w:rPr>
                <w:sz w:val="15"/>
                <w:szCs w:val="15"/>
                <w:color w:val="auto"/>
              </w:rPr>
            </w:pPr>
          </w:p>
        </w:tc>
        <w:tc>
          <w:tcPr>
            <w:tcW w:w="7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Fair Value</w:t>
            </w:r>
          </w:p>
        </w:tc>
        <w:tc>
          <w:tcPr>
            <w:tcW w:w="60" w:type="dxa"/>
            <w:vAlign w:val="bottom"/>
            <w:shd w:val="clear" w:color="auto" w:fill="B2EEDE"/>
          </w:tcPr>
          <w:p>
            <w:pPr>
              <w:spacing w:after="0"/>
              <w:rPr>
                <w:sz w:val="15"/>
                <w:szCs w:val="15"/>
                <w:color w:val="auto"/>
              </w:rPr>
            </w:pPr>
          </w:p>
        </w:tc>
        <w:tc>
          <w:tcPr>
            <w:tcW w:w="1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B2EEDE"/>
          </w:tcPr>
          <w:p>
            <w:pPr>
              <w:spacing w:after="0"/>
              <w:rPr>
                <w:sz w:val="7"/>
                <w:szCs w:val="7"/>
                <w:color w:val="auto"/>
              </w:rPr>
            </w:pPr>
          </w:p>
        </w:tc>
        <w:tc>
          <w:tcPr>
            <w:tcW w:w="1360" w:type="dxa"/>
            <w:vAlign w:val="bottom"/>
            <w:shd w:val="clear" w:color="auto" w:fill="B2EEDE"/>
          </w:tcPr>
          <w:p>
            <w:pPr>
              <w:spacing w:after="0"/>
              <w:rPr>
                <w:sz w:val="7"/>
                <w:szCs w:val="7"/>
                <w:color w:val="auto"/>
              </w:rPr>
            </w:pPr>
          </w:p>
        </w:tc>
        <w:tc>
          <w:tcPr>
            <w:tcW w:w="740" w:type="dxa"/>
            <w:vAlign w:val="bottom"/>
            <w:shd w:val="clear" w:color="auto" w:fill="B2EEDE"/>
          </w:tcPr>
          <w:p>
            <w:pPr>
              <w:spacing w:after="0"/>
              <w:rPr>
                <w:sz w:val="7"/>
                <w:szCs w:val="7"/>
                <w:color w:val="auto"/>
              </w:rPr>
            </w:pPr>
          </w:p>
        </w:tc>
        <w:tc>
          <w:tcPr>
            <w:tcW w:w="160" w:type="dxa"/>
            <w:vAlign w:val="bottom"/>
            <w:shd w:val="clear" w:color="auto" w:fill="B2EEDE"/>
          </w:tcPr>
          <w:p>
            <w:pPr>
              <w:spacing w:after="0"/>
              <w:rPr>
                <w:sz w:val="7"/>
                <w:szCs w:val="7"/>
                <w:color w:val="auto"/>
              </w:rPr>
            </w:pPr>
          </w:p>
        </w:tc>
        <w:tc>
          <w:tcPr>
            <w:tcW w:w="200" w:type="dxa"/>
            <w:vAlign w:val="bottom"/>
            <w:shd w:val="clear" w:color="auto" w:fill="B2EEDE"/>
          </w:tcPr>
          <w:p>
            <w:pPr>
              <w:spacing w:after="0"/>
              <w:rPr>
                <w:sz w:val="7"/>
                <w:szCs w:val="7"/>
                <w:color w:val="auto"/>
              </w:rPr>
            </w:pPr>
          </w:p>
        </w:tc>
        <w:tc>
          <w:tcPr>
            <w:tcW w:w="2360" w:type="dxa"/>
            <w:vAlign w:val="bottom"/>
            <w:gridSpan w:val="5"/>
            <w:vMerge w:val="continue"/>
            <w:shd w:val="clear" w:color="auto" w:fill="B2EEDE"/>
          </w:tcPr>
          <w:p>
            <w:pPr>
              <w:spacing w:after="0"/>
              <w:rPr>
                <w:sz w:val="7"/>
                <w:szCs w:val="7"/>
                <w:color w:val="auto"/>
              </w:rPr>
            </w:pPr>
          </w:p>
        </w:tc>
        <w:tc>
          <w:tcPr>
            <w:tcW w:w="200" w:type="dxa"/>
            <w:vAlign w:val="bottom"/>
            <w:shd w:val="clear" w:color="auto" w:fill="B2EEDE"/>
          </w:tcPr>
          <w:p>
            <w:pPr>
              <w:spacing w:after="0"/>
              <w:rPr>
                <w:sz w:val="7"/>
                <w:szCs w:val="7"/>
                <w:color w:val="auto"/>
              </w:rPr>
            </w:pPr>
          </w:p>
        </w:tc>
        <w:tc>
          <w:tcPr>
            <w:tcW w:w="2260" w:type="dxa"/>
            <w:vAlign w:val="bottom"/>
            <w:gridSpan w:val="5"/>
            <w:vMerge w:val="continue"/>
            <w:shd w:val="clear" w:color="auto" w:fill="B2EEDE"/>
          </w:tcPr>
          <w:p>
            <w:pPr>
              <w:spacing w:after="0"/>
              <w:rPr>
                <w:sz w:val="7"/>
                <w:szCs w:val="7"/>
                <w:color w:val="auto"/>
              </w:rPr>
            </w:pPr>
          </w:p>
        </w:tc>
        <w:tc>
          <w:tcPr>
            <w:tcW w:w="80" w:type="dxa"/>
            <w:vAlign w:val="bottom"/>
            <w:shd w:val="clear" w:color="auto" w:fill="B2EEDE"/>
          </w:tcPr>
          <w:p>
            <w:pPr>
              <w:spacing w:after="0"/>
              <w:rPr>
                <w:sz w:val="7"/>
                <w:szCs w:val="7"/>
                <w:color w:val="auto"/>
              </w:rPr>
            </w:pPr>
          </w:p>
        </w:tc>
        <w:tc>
          <w:tcPr>
            <w:tcW w:w="100" w:type="dxa"/>
            <w:vAlign w:val="bottom"/>
            <w:shd w:val="clear" w:color="auto" w:fill="B2EEDE"/>
          </w:tcPr>
          <w:p>
            <w:pPr>
              <w:spacing w:after="0"/>
              <w:rPr>
                <w:sz w:val="7"/>
                <w:szCs w:val="7"/>
                <w:color w:val="auto"/>
              </w:rPr>
            </w:pPr>
          </w:p>
        </w:tc>
        <w:tc>
          <w:tcPr>
            <w:tcW w:w="740" w:type="dxa"/>
            <w:vAlign w:val="bottom"/>
            <w:gridSpan w:val="2"/>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Shares of</w:t>
            </w:r>
          </w:p>
        </w:tc>
        <w:tc>
          <w:tcPr>
            <w:tcW w:w="180" w:type="dxa"/>
            <w:vAlign w:val="bottom"/>
            <w:shd w:val="clear" w:color="auto" w:fill="B2EEDE"/>
          </w:tcPr>
          <w:p>
            <w:pPr>
              <w:spacing w:after="0"/>
              <w:rPr>
                <w:sz w:val="7"/>
                <w:szCs w:val="7"/>
                <w:color w:val="auto"/>
              </w:rPr>
            </w:pPr>
          </w:p>
        </w:tc>
        <w:tc>
          <w:tcPr>
            <w:tcW w:w="72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of Stock</w:t>
            </w:r>
          </w:p>
        </w:tc>
        <w:tc>
          <w:tcPr>
            <w:tcW w:w="60" w:type="dxa"/>
            <w:vAlign w:val="bottom"/>
            <w:shd w:val="clear" w:color="auto" w:fill="B2EEDE"/>
          </w:tcPr>
          <w:p>
            <w:pPr>
              <w:spacing w:after="0"/>
              <w:rPr>
                <w:sz w:val="7"/>
                <w:szCs w:val="7"/>
                <w:color w:val="auto"/>
              </w:rPr>
            </w:pPr>
          </w:p>
        </w:tc>
        <w:tc>
          <w:tcPr>
            <w:tcW w:w="120" w:type="dxa"/>
            <w:vAlign w:val="bottom"/>
            <w:shd w:val="clear" w:color="auto" w:fill="B2EED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80" w:type="dxa"/>
            <w:vAlign w:val="bottom"/>
            <w:gridSpan w:val="2"/>
            <w:shd w:val="clear" w:color="auto" w:fill="B2EEDE"/>
          </w:tcPr>
          <w:p>
            <w:pPr>
              <w:ind w:left="60"/>
              <w:spacing w:after="0" w:line="145"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B2EEDE"/>
          </w:tcPr>
          <w:p>
            <w:pPr>
              <w:ind w:left="40"/>
              <w:spacing w:after="0" w:line="145" w:lineRule="exact"/>
              <w:rPr>
                <w:sz w:val="20"/>
                <w:szCs w:val="20"/>
                <w:color w:val="auto"/>
              </w:rPr>
            </w:pPr>
            <w:r>
              <w:rPr>
                <w:rFonts w:ascii="Arial" w:cs="Arial" w:eastAsia="Arial" w:hAnsi="Arial"/>
                <w:sz w:val="14"/>
                <w:szCs w:val="14"/>
                <w:b w:val="1"/>
                <w:bCs w:val="1"/>
                <w:color w:val="auto"/>
              </w:rPr>
              <w:t>​ ​​</w:t>
            </w:r>
          </w:p>
        </w:tc>
        <w:tc>
          <w:tcPr>
            <w:tcW w:w="2720" w:type="dxa"/>
            <w:vAlign w:val="bottom"/>
            <w:gridSpan w:val="7"/>
            <w:shd w:val="clear" w:color="auto" w:fill="B2EEDE"/>
          </w:tcPr>
          <w:p>
            <w:pPr>
              <w:ind w:left="80"/>
              <w:spacing w:after="0" w:line="145" w:lineRule="exact"/>
              <w:rPr>
                <w:sz w:val="20"/>
                <w:szCs w:val="20"/>
                <w:color w:val="auto"/>
              </w:rPr>
            </w:pPr>
            <w:r>
              <w:rPr>
                <w:rFonts w:ascii="Arial" w:cs="Arial" w:eastAsia="Arial" w:hAnsi="Arial"/>
                <w:sz w:val="16"/>
                <w:szCs w:val="16"/>
                <w:b w:val="1"/>
                <w:bCs w:val="1"/>
                <w:color w:val="auto"/>
                <w:vertAlign w:val="subscript"/>
              </w:rPr>
              <w:t>​​ ​</w:t>
            </w:r>
            <w:r>
              <w:rPr>
                <w:rFonts w:ascii="Arial" w:cs="Arial" w:eastAsia="Arial" w:hAnsi="Arial"/>
                <w:sz w:val="10"/>
                <w:szCs w:val="10"/>
                <w:b w:val="1"/>
                <w:bCs w:val="1"/>
                <w:color w:val="auto"/>
              </w:rPr>
              <w:t xml:space="preserve"> Non-Equity Incentive Plan Awards</w:t>
            </w:r>
            <w:r>
              <w:rPr>
                <w:rFonts w:ascii="Arial" w:cs="Arial" w:eastAsia="Arial" w:hAnsi="Arial"/>
                <w:sz w:val="11"/>
                <w:szCs w:val="11"/>
                <w:b w:val="1"/>
                <w:bCs w:val="1"/>
                <w:color w:val="auto"/>
                <w:vertAlign w:val="superscript"/>
              </w:rPr>
              <w:t>(1)</w:t>
            </w:r>
          </w:p>
        </w:tc>
        <w:tc>
          <w:tcPr>
            <w:tcW w:w="200" w:type="dxa"/>
            <w:vAlign w:val="bottom"/>
            <w:shd w:val="clear" w:color="auto" w:fill="B2EEDE"/>
          </w:tcPr>
          <w:p>
            <w:pPr>
              <w:jc w:val="right"/>
              <w:spacing w:after="0" w:line="145" w:lineRule="exact"/>
              <w:rPr>
                <w:sz w:val="20"/>
                <w:szCs w:val="20"/>
                <w:color w:val="auto"/>
              </w:rPr>
            </w:pPr>
            <w:r>
              <w:rPr>
                <w:rFonts w:ascii="Arial" w:cs="Arial" w:eastAsia="Arial" w:hAnsi="Arial"/>
                <w:sz w:val="14"/>
                <w:szCs w:val="14"/>
                <w:b w:val="1"/>
                <w:bCs w:val="1"/>
                <w:color w:val="auto"/>
              </w:rPr>
              <w:t>​ ​</w:t>
            </w:r>
          </w:p>
        </w:tc>
        <w:tc>
          <w:tcPr>
            <w:tcW w:w="2260" w:type="dxa"/>
            <w:vAlign w:val="bottom"/>
            <w:gridSpan w:val="5"/>
            <w:shd w:val="clear" w:color="auto" w:fill="B2EEDE"/>
          </w:tcPr>
          <w:p>
            <w:pPr>
              <w:jc w:val="center"/>
              <w:spacing w:after="0" w:line="145" w:lineRule="exact"/>
              <w:rPr>
                <w:sz w:val="20"/>
                <w:szCs w:val="20"/>
                <w:color w:val="auto"/>
              </w:rPr>
            </w:pPr>
            <w:r>
              <w:rPr>
                <w:rFonts w:ascii="Arial" w:cs="Arial" w:eastAsia="Arial" w:hAnsi="Arial"/>
                <w:sz w:val="14"/>
                <w:szCs w:val="14"/>
                <w:b w:val="1"/>
                <w:bCs w:val="1"/>
                <w:color w:val="auto"/>
              </w:rPr>
              <w:t>Equity Incentive Plan Awards</w:t>
            </w:r>
          </w:p>
        </w:tc>
        <w:tc>
          <w:tcPr>
            <w:tcW w:w="80" w:type="dxa"/>
            <w:vAlign w:val="bottom"/>
            <w:shd w:val="clear" w:color="auto" w:fill="B2EEDE"/>
          </w:tcPr>
          <w:p>
            <w:pPr>
              <w:ind w:left="60"/>
              <w:spacing w:after="0"/>
              <w:rPr>
                <w:sz w:val="20"/>
                <w:szCs w:val="20"/>
                <w:color w:val="auto"/>
              </w:rPr>
            </w:pPr>
            <w:r>
              <w:rPr>
                <w:rFonts w:ascii="Arial" w:cs="Arial" w:eastAsia="Arial" w:hAnsi="Arial"/>
                <w:sz w:val="1"/>
                <w:szCs w:val="1"/>
                <w:b w:val="1"/>
                <w:bCs w:val="1"/>
                <w:color w:val="auto"/>
                <w:w w:val="4294942296"/>
              </w:rPr>
              <w:t>​</w:t>
            </w:r>
          </w:p>
        </w:tc>
        <w:tc>
          <w:tcPr>
            <w:tcW w:w="100" w:type="dxa"/>
            <w:vAlign w:val="bottom"/>
            <w:shd w:val="clear" w:color="auto" w:fill="B2EEDE"/>
          </w:tcPr>
          <w:p>
            <w:pPr>
              <w:spacing w:after="0"/>
              <w:rPr>
                <w:sz w:val="12"/>
                <w:szCs w:val="12"/>
                <w:color w:val="auto"/>
              </w:rPr>
            </w:pPr>
          </w:p>
        </w:tc>
        <w:tc>
          <w:tcPr>
            <w:tcW w:w="740" w:type="dxa"/>
            <w:vAlign w:val="bottom"/>
            <w:gridSpan w:val="2"/>
            <w:vMerge w:val="continue"/>
            <w:shd w:val="clear" w:color="auto" w:fill="B2EEDE"/>
          </w:tcPr>
          <w:p>
            <w:pPr>
              <w:spacing w:after="0"/>
              <w:rPr>
                <w:sz w:val="12"/>
                <w:szCs w:val="12"/>
                <w:color w:val="auto"/>
              </w:rPr>
            </w:pPr>
          </w:p>
        </w:tc>
        <w:tc>
          <w:tcPr>
            <w:tcW w:w="180" w:type="dxa"/>
            <w:vAlign w:val="bottom"/>
            <w:shd w:val="clear" w:color="auto" w:fill="B2EEDE"/>
          </w:tcPr>
          <w:p>
            <w:pPr>
              <w:spacing w:after="0"/>
              <w:rPr>
                <w:sz w:val="12"/>
                <w:szCs w:val="12"/>
                <w:color w:val="auto"/>
              </w:rPr>
            </w:pPr>
          </w:p>
        </w:tc>
        <w:tc>
          <w:tcPr>
            <w:tcW w:w="720" w:type="dxa"/>
            <w:vAlign w:val="bottom"/>
            <w:vMerge w:val="continue"/>
            <w:shd w:val="clear" w:color="auto" w:fill="B2EEDE"/>
          </w:tcPr>
          <w:p>
            <w:pPr>
              <w:spacing w:after="0"/>
              <w:rPr>
                <w:sz w:val="12"/>
                <w:szCs w:val="12"/>
                <w:color w:val="auto"/>
              </w:rPr>
            </w:pPr>
          </w:p>
        </w:tc>
        <w:tc>
          <w:tcPr>
            <w:tcW w:w="60" w:type="dxa"/>
            <w:vAlign w:val="bottom"/>
            <w:shd w:val="clear" w:color="auto" w:fill="B2EEDE"/>
          </w:tcPr>
          <w:p>
            <w:pPr>
              <w:spacing w:after="0"/>
              <w:rPr>
                <w:sz w:val="12"/>
                <w:szCs w:val="12"/>
                <w:color w:val="auto"/>
              </w:rPr>
            </w:pPr>
          </w:p>
        </w:tc>
        <w:tc>
          <w:tcPr>
            <w:tcW w:w="120" w:type="dxa"/>
            <w:vAlign w:val="bottom"/>
            <w:shd w:val="clear" w:color="auto" w:fill="B2EED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B2EEDE"/>
          </w:tcPr>
          <w:p>
            <w:pPr>
              <w:spacing w:after="0"/>
              <w:rPr>
                <w:sz w:val="7"/>
                <w:szCs w:val="7"/>
                <w:color w:val="auto"/>
              </w:rPr>
            </w:pPr>
          </w:p>
        </w:tc>
        <w:tc>
          <w:tcPr>
            <w:tcW w:w="1360" w:type="dxa"/>
            <w:vAlign w:val="bottom"/>
            <w:tcBorders>
              <w:bottom w:val="single" w:sz="8" w:color="B2EEDE"/>
            </w:tcBorders>
            <w:shd w:val="clear" w:color="auto" w:fill="B2EEDE"/>
          </w:tcPr>
          <w:p>
            <w:pPr>
              <w:spacing w:after="0"/>
              <w:rPr>
                <w:sz w:val="7"/>
                <w:szCs w:val="7"/>
                <w:color w:val="auto"/>
              </w:rPr>
            </w:pPr>
          </w:p>
        </w:tc>
        <w:tc>
          <w:tcPr>
            <w:tcW w:w="740" w:type="dxa"/>
            <w:vAlign w:val="bottom"/>
            <w:tcBorders>
              <w:bottom w:val="single" w:sz="8" w:color="B2EEDE"/>
            </w:tcBorders>
            <w:shd w:val="clear" w:color="auto" w:fill="B2EEDE"/>
          </w:tcPr>
          <w:p>
            <w:pPr>
              <w:spacing w:after="0"/>
              <w:rPr>
                <w:sz w:val="7"/>
                <w:szCs w:val="7"/>
                <w:color w:val="auto"/>
              </w:rPr>
            </w:pPr>
          </w:p>
        </w:tc>
        <w:tc>
          <w:tcPr>
            <w:tcW w:w="160" w:type="dxa"/>
            <w:vAlign w:val="bottom"/>
            <w:tcBorders>
              <w:bottom w:val="single" w:sz="8" w:color="B2EEDE"/>
            </w:tcBorders>
            <w:shd w:val="clear" w:color="auto" w:fill="B2EEDE"/>
          </w:tcPr>
          <w:p>
            <w:pPr>
              <w:spacing w:after="0"/>
              <w:rPr>
                <w:sz w:val="7"/>
                <w:szCs w:val="7"/>
                <w:color w:val="auto"/>
              </w:rPr>
            </w:pPr>
          </w:p>
        </w:tc>
        <w:tc>
          <w:tcPr>
            <w:tcW w:w="200" w:type="dxa"/>
            <w:vAlign w:val="bottom"/>
            <w:tcBorders>
              <w:bottom w:val="single" w:sz="8" w:color="auto"/>
            </w:tcBorders>
            <w:shd w:val="clear" w:color="auto" w:fill="B2EEDE"/>
          </w:tcPr>
          <w:p>
            <w:pPr>
              <w:spacing w:after="0"/>
              <w:rPr>
                <w:sz w:val="7"/>
                <w:szCs w:val="7"/>
                <w:color w:val="auto"/>
              </w:rPr>
            </w:pPr>
          </w:p>
        </w:tc>
        <w:tc>
          <w:tcPr>
            <w:tcW w:w="400" w:type="dxa"/>
            <w:vAlign w:val="bottom"/>
            <w:tcBorders>
              <w:bottom w:val="single" w:sz="8" w:color="auto"/>
            </w:tcBorders>
            <w:shd w:val="clear" w:color="auto" w:fill="B2EEDE"/>
          </w:tcPr>
          <w:p>
            <w:pPr>
              <w:spacing w:after="0"/>
              <w:rPr>
                <w:sz w:val="7"/>
                <w:szCs w:val="7"/>
                <w:color w:val="auto"/>
              </w:rPr>
            </w:pPr>
          </w:p>
        </w:tc>
        <w:tc>
          <w:tcPr>
            <w:tcW w:w="500" w:type="dxa"/>
            <w:vAlign w:val="bottom"/>
            <w:tcBorders>
              <w:bottom w:val="single" w:sz="8" w:color="auto"/>
            </w:tcBorders>
            <w:shd w:val="clear" w:color="auto" w:fill="B2EEDE"/>
          </w:tcPr>
          <w:p>
            <w:pPr>
              <w:spacing w:after="0"/>
              <w:rPr>
                <w:sz w:val="7"/>
                <w:szCs w:val="7"/>
                <w:color w:val="auto"/>
              </w:rPr>
            </w:pPr>
          </w:p>
        </w:tc>
        <w:tc>
          <w:tcPr>
            <w:tcW w:w="520" w:type="dxa"/>
            <w:vAlign w:val="bottom"/>
            <w:tcBorders>
              <w:bottom w:val="single" w:sz="8" w:color="auto"/>
            </w:tcBorders>
            <w:shd w:val="clear" w:color="auto" w:fill="B2EEDE"/>
          </w:tcPr>
          <w:p>
            <w:pPr>
              <w:spacing w:after="0"/>
              <w:rPr>
                <w:sz w:val="7"/>
                <w:szCs w:val="7"/>
                <w:color w:val="auto"/>
              </w:rPr>
            </w:pPr>
          </w:p>
        </w:tc>
        <w:tc>
          <w:tcPr>
            <w:tcW w:w="380" w:type="dxa"/>
            <w:vAlign w:val="bottom"/>
            <w:tcBorders>
              <w:bottom w:val="single" w:sz="8" w:color="auto"/>
            </w:tcBorders>
            <w:shd w:val="clear" w:color="auto" w:fill="B2EEDE"/>
          </w:tcPr>
          <w:p>
            <w:pPr>
              <w:spacing w:after="0"/>
              <w:rPr>
                <w:sz w:val="7"/>
                <w:szCs w:val="7"/>
                <w:color w:val="auto"/>
              </w:rPr>
            </w:pPr>
          </w:p>
        </w:tc>
        <w:tc>
          <w:tcPr>
            <w:tcW w:w="560" w:type="dxa"/>
            <w:vAlign w:val="bottom"/>
            <w:tcBorders>
              <w:bottom w:val="single" w:sz="8" w:color="auto"/>
            </w:tcBorders>
            <w:shd w:val="clear" w:color="auto" w:fill="B2EEDE"/>
          </w:tcPr>
          <w:p>
            <w:pPr>
              <w:spacing w:after="0"/>
              <w:rPr>
                <w:sz w:val="7"/>
                <w:szCs w:val="7"/>
                <w:color w:val="auto"/>
              </w:rPr>
            </w:pPr>
          </w:p>
        </w:tc>
        <w:tc>
          <w:tcPr>
            <w:tcW w:w="200" w:type="dxa"/>
            <w:vAlign w:val="bottom"/>
            <w:tcBorders>
              <w:bottom w:val="single" w:sz="8" w:color="auto"/>
            </w:tcBorders>
            <w:shd w:val="clear" w:color="auto" w:fill="B2EEDE"/>
          </w:tcPr>
          <w:p>
            <w:pPr>
              <w:spacing w:after="0"/>
              <w:rPr>
                <w:sz w:val="7"/>
                <w:szCs w:val="7"/>
                <w:color w:val="auto"/>
              </w:rPr>
            </w:pPr>
          </w:p>
        </w:tc>
        <w:tc>
          <w:tcPr>
            <w:tcW w:w="740" w:type="dxa"/>
            <w:vAlign w:val="bottom"/>
            <w:tcBorders>
              <w:bottom w:val="single" w:sz="8" w:color="auto"/>
            </w:tcBorders>
            <w:shd w:val="clear" w:color="auto" w:fill="B2EEDE"/>
          </w:tcPr>
          <w:p>
            <w:pPr>
              <w:spacing w:after="0"/>
              <w:rPr>
                <w:sz w:val="7"/>
                <w:szCs w:val="7"/>
                <w:color w:val="auto"/>
              </w:rPr>
            </w:pPr>
          </w:p>
        </w:tc>
        <w:tc>
          <w:tcPr>
            <w:tcW w:w="160" w:type="dxa"/>
            <w:vAlign w:val="bottom"/>
            <w:tcBorders>
              <w:bottom w:val="single" w:sz="8" w:color="auto"/>
            </w:tcBorders>
            <w:shd w:val="clear" w:color="auto" w:fill="B2EEDE"/>
          </w:tcPr>
          <w:p>
            <w:pPr>
              <w:spacing w:after="0"/>
              <w:rPr>
                <w:sz w:val="7"/>
                <w:szCs w:val="7"/>
                <w:color w:val="auto"/>
              </w:rPr>
            </w:pPr>
          </w:p>
        </w:tc>
        <w:tc>
          <w:tcPr>
            <w:tcW w:w="480" w:type="dxa"/>
            <w:vAlign w:val="bottom"/>
            <w:tcBorders>
              <w:bottom w:val="single" w:sz="8" w:color="auto"/>
            </w:tcBorders>
            <w:shd w:val="clear" w:color="auto" w:fill="B2EEDE"/>
          </w:tcPr>
          <w:p>
            <w:pPr>
              <w:spacing w:after="0"/>
              <w:rPr>
                <w:sz w:val="7"/>
                <w:szCs w:val="7"/>
                <w:color w:val="auto"/>
              </w:rPr>
            </w:pPr>
          </w:p>
        </w:tc>
        <w:tc>
          <w:tcPr>
            <w:tcW w:w="160" w:type="dxa"/>
            <w:vAlign w:val="bottom"/>
            <w:tcBorders>
              <w:bottom w:val="single" w:sz="8" w:color="auto"/>
            </w:tcBorders>
            <w:shd w:val="clear" w:color="auto" w:fill="B2EEDE"/>
          </w:tcPr>
          <w:p>
            <w:pPr>
              <w:spacing w:after="0"/>
              <w:rPr>
                <w:sz w:val="7"/>
                <w:szCs w:val="7"/>
                <w:color w:val="auto"/>
              </w:rPr>
            </w:pPr>
          </w:p>
        </w:tc>
        <w:tc>
          <w:tcPr>
            <w:tcW w:w="720" w:type="dxa"/>
            <w:vAlign w:val="bottom"/>
            <w:tcBorders>
              <w:bottom w:val="single" w:sz="8" w:color="auto"/>
            </w:tcBorders>
            <w:shd w:val="clear" w:color="auto" w:fill="B2EEDE"/>
          </w:tcPr>
          <w:p>
            <w:pPr>
              <w:spacing w:after="0"/>
              <w:rPr>
                <w:sz w:val="7"/>
                <w:szCs w:val="7"/>
                <w:color w:val="auto"/>
              </w:rPr>
            </w:pPr>
          </w:p>
        </w:tc>
        <w:tc>
          <w:tcPr>
            <w:tcW w:w="80" w:type="dxa"/>
            <w:vAlign w:val="bottom"/>
            <w:tcBorders>
              <w:bottom w:val="single" w:sz="8" w:color="auto"/>
            </w:tcBorders>
            <w:shd w:val="clear" w:color="auto" w:fill="B2EEDE"/>
          </w:tcPr>
          <w:p>
            <w:pPr>
              <w:spacing w:after="0"/>
              <w:rPr>
                <w:sz w:val="7"/>
                <w:szCs w:val="7"/>
                <w:color w:val="auto"/>
              </w:rPr>
            </w:pPr>
          </w:p>
        </w:tc>
        <w:tc>
          <w:tcPr>
            <w:tcW w:w="100" w:type="dxa"/>
            <w:vAlign w:val="bottom"/>
            <w:tcBorders>
              <w:bottom w:val="single" w:sz="8" w:color="B2EEDE"/>
            </w:tcBorders>
            <w:shd w:val="clear" w:color="auto" w:fill="B2EEDE"/>
          </w:tcPr>
          <w:p>
            <w:pPr>
              <w:spacing w:after="0"/>
              <w:rPr>
                <w:sz w:val="7"/>
                <w:szCs w:val="7"/>
                <w:color w:val="auto"/>
              </w:rPr>
            </w:pPr>
          </w:p>
        </w:tc>
        <w:tc>
          <w:tcPr>
            <w:tcW w:w="740" w:type="dxa"/>
            <w:vAlign w:val="bottom"/>
            <w:tcBorders>
              <w:bottom w:val="single" w:sz="8" w:color="B2EEDE"/>
            </w:tcBorders>
            <w:gridSpan w:val="2"/>
            <w:vMerge w:val="restart"/>
            <w:shd w:val="clear" w:color="auto" w:fill="B2EEDE"/>
          </w:tcPr>
          <w:p>
            <w:pPr>
              <w:jc w:val="center"/>
              <w:spacing w:after="0" w:line="139" w:lineRule="exact"/>
              <w:rPr>
                <w:sz w:val="20"/>
                <w:szCs w:val="20"/>
                <w:color w:val="auto"/>
              </w:rPr>
            </w:pPr>
            <w:r>
              <w:rPr>
                <w:rFonts w:ascii="Arial" w:cs="Arial" w:eastAsia="Arial" w:hAnsi="Arial"/>
                <w:sz w:val="14"/>
                <w:szCs w:val="14"/>
                <w:b w:val="1"/>
                <w:bCs w:val="1"/>
                <w:color w:val="auto"/>
                <w:w w:val="99"/>
              </w:rPr>
              <w:t>Stock or</w:t>
            </w:r>
          </w:p>
        </w:tc>
        <w:tc>
          <w:tcPr>
            <w:tcW w:w="180" w:type="dxa"/>
            <w:vAlign w:val="bottom"/>
            <w:tcBorders>
              <w:bottom w:val="single" w:sz="8" w:color="B2EEDE"/>
            </w:tcBorders>
            <w:shd w:val="clear" w:color="auto" w:fill="B2EEDE"/>
          </w:tcPr>
          <w:p>
            <w:pPr>
              <w:spacing w:after="0"/>
              <w:rPr>
                <w:sz w:val="7"/>
                <w:szCs w:val="7"/>
                <w:color w:val="auto"/>
              </w:rPr>
            </w:pPr>
          </w:p>
        </w:tc>
        <w:tc>
          <w:tcPr>
            <w:tcW w:w="780" w:type="dxa"/>
            <w:vAlign w:val="bottom"/>
            <w:tcBorders>
              <w:bottom w:val="single" w:sz="8" w:color="B2EEDE"/>
            </w:tcBorders>
            <w:gridSpan w:val="2"/>
            <w:vMerge w:val="restart"/>
            <w:shd w:val="clear" w:color="auto" w:fill="B2EEDE"/>
          </w:tcPr>
          <w:p>
            <w:pPr>
              <w:jc w:val="center"/>
              <w:spacing w:after="0" w:line="139" w:lineRule="exact"/>
              <w:rPr>
                <w:sz w:val="20"/>
                <w:szCs w:val="20"/>
                <w:color w:val="auto"/>
              </w:rPr>
            </w:pPr>
            <w:r>
              <w:rPr>
                <w:rFonts w:ascii="Arial" w:cs="Arial" w:eastAsia="Arial" w:hAnsi="Arial"/>
                <w:sz w:val="14"/>
                <w:szCs w:val="14"/>
                <w:b w:val="1"/>
                <w:bCs w:val="1"/>
                <w:color w:val="auto"/>
              </w:rPr>
              <w:t>and Option</w:t>
            </w:r>
          </w:p>
        </w:tc>
        <w:tc>
          <w:tcPr>
            <w:tcW w:w="120" w:type="dxa"/>
            <w:vAlign w:val="bottom"/>
            <w:tcBorders>
              <w:bottom w:val="single" w:sz="8" w:color="B2EEDE"/>
            </w:tcBorders>
            <w:shd w:val="clear" w:color="auto" w:fill="B2EED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20" w:type="dxa"/>
            <w:vAlign w:val="bottom"/>
          </w:tcPr>
          <w:p>
            <w:pPr>
              <w:spacing w:after="0"/>
              <w:rPr>
                <w:sz w:val="3"/>
                <w:szCs w:val="3"/>
                <w:color w:val="auto"/>
              </w:rPr>
            </w:pPr>
          </w:p>
        </w:tc>
        <w:tc>
          <w:tcPr>
            <w:tcW w:w="1360" w:type="dxa"/>
            <w:vAlign w:val="bottom"/>
            <w:shd w:val="clear" w:color="auto" w:fill="B2EEDE"/>
          </w:tcPr>
          <w:p>
            <w:pPr>
              <w:spacing w:after="0"/>
              <w:rPr>
                <w:sz w:val="3"/>
                <w:szCs w:val="3"/>
                <w:color w:val="auto"/>
              </w:rPr>
            </w:pPr>
          </w:p>
        </w:tc>
        <w:tc>
          <w:tcPr>
            <w:tcW w:w="740" w:type="dxa"/>
            <w:vAlign w:val="bottom"/>
            <w:shd w:val="clear" w:color="auto" w:fill="B2EEDE"/>
          </w:tcPr>
          <w:p>
            <w:pPr>
              <w:spacing w:after="0"/>
              <w:rPr>
                <w:sz w:val="3"/>
                <w:szCs w:val="3"/>
                <w:color w:val="auto"/>
              </w:rPr>
            </w:pPr>
          </w:p>
        </w:tc>
        <w:tc>
          <w:tcPr>
            <w:tcW w:w="160" w:type="dxa"/>
            <w:vAlign w:val="bottom"/>
            <w:shd w:val="clear" w:color="auto" w:fill="B2EEDE"/>
          </w:tcPr>
          <w:p>
            <w:pPr>
              <w:spacing w:after="0"/>
              <w:rPr>
                <w:sz w:val="3"/>
                <w:szCs w:val="3"/>
                <w:color w:val="auto"/>
              </w:rPr>
            </w:pPr>
          </w:p>
        </w:tc>
        <w:tc>
          <w:tcPr>
            <w:tcW w:w="200" w:type="dxa"/>
            <w:vAlign w:val="bottom"/>
            <w:shd w:val="clear" w:color="auto" w:fill="B2EEDE"/>
          </w:tcPr>
          <w:p>
            <w:pPr>
              <w:spacing w:after="0"/>
              <w:rPr>
                <w:sz w:val="3"/>
                <w:szCs w:val="3"/>
                <w:color w:val="auto"/>
              </w:rPr>
            </w:pPr>
          </w:p>
        </w:tc>
        <w:tc>
          <w:tcPr>
            <w:tcW w:w="400" w:type="dxa"/>
            <w:vAlign w:val="bottom"/>
            <w:shd w:val="clear" w:color="auto" w:fill="B2EEDE"/>
          </w:tcPr>
          <w:p>
            <w:pPr>
              <w:spacing w:after="0"/>
              <w:rPr>
                <w:sz w:val="3"/>
                <w:szCs w:val="3"/>
                <w:color w:val="auto"/>
              </w:rPr>
            </w:pPr>
          </w:p>
        </w:tc>
        <w:tc>
          <w:tcPr>
            <w:tcW w:w="500" w:type="dxa"/>
            <w:vAlign w:val="bottom"/>
            <w:shd w:val="clear" w:color="auto" w:fill="B2EEDE"/>
          </w:tcPr>
          <w:p>
            <w:pPr>
              <w:spacing w:after="0"/>
              <w:rPr>
                <w:sz w:val="3"/>
                <w:szCs w:val="3"/>
                <w:color w:val="auto"/>
              </w:rPr>
            </w:pPr>
          </w:p>
        </w:tc>
        <w:tc>
          <w:tcPr>
            <w:tcW w:w="520" w:type="dxa"/>
            <w:vAlign w:val="bottom"/>
            <w:shd w:val="clear" w:color="auto" w:fill="B2EEDE"/>
          </w:tcPr>
          <w:p>
            <w:pPr>
              <w:spacing w:after="0"/>
              <w:rPr>
                <w:sz w:val="3"/>
                <w:szCs w:val="3"/>
                <w:color w:val="auto"/>
              </w:rPr>
            </w:pPr>
          </w:p>
        </w:tc>
        <w:tc>
          <w:tcPr>
            <w:tcW w:w="380" w:type="dxa"/>
            <w:vAlign w:val="bottom"/>
            <w:shd w:val="clear" w:color="auto" w:fill="B2EEDE"/>
          </w:tcPr>
          <w:p>
            <w:pPr>
              <w:spacing w:after="0"/>
              <w:rPr>
                <w:sz w:val="3"/>
                <w:szCs w:val="3"/>
                <w:color w:val="auto"/>
              </w:rPr>
            </w:pPr>
          </w:p>
        </w:tc>
        <w:tc>
          <w:tcPr>
            <w:tcW w:w="560" w:type="dxa"/>
            <w:vAlign w:val="bottom"/>
            <w:shd w:val="clear" w:color="auto" w:fill="B2EEDE"/>
          </w:tcPr>
          <w:p>
            <w:pPr>
              <w:spacing w:after="0"/>
              <w:rPr>
                <w:sz w:val="3"/>
                <w:szCs w:val="3"/>
                <w:color w:val="auto"/>
              </w:rPr>
            </w:pPr>
          </w:p>
        </w:tc>
        <w:tc>
          <w:tcPr>
            <w:tcW w:w="200" w:type="dxa"/>
            <w:vAlign w:val="bottom"/>
            <w:shd w:val="clear" w:color="auto" w:fill="B2EEDE"/>
          </w:tcPr>
          <w:p>
            <w:pPr>
              <w:spacing w:after="0"/>
              <w:rPr>
                <w:sz w:val="3"/>
                <w:szCs w:val="3"/>
                <w:color w:val="auto"/>
              </w:rPr>
            </w:pPr>
          </w:p>
        </w:tc>
        <w:tc>
          <w:tcPr>
            <w:tcW w:w="740" w:type="dxa"/>
            <w:vAlign w:val="bottom"/>
            <w:shd w:val="clear" w:color="auto" w:fill="B2EEDE"/>
          </w:tcPr>
          <w:p>
            <w:pPr>
              <w:spacing w:after="0"/>
              <w:rPr>
                <w:sz w:val="3"/>
                <w:szCs w:val="3"/>
                <w:color w:val="auto"/>
              </w:rPr>
            </w:pPr>
          </w:p>
        </w:tc>
        <w:tc>
          <w:tcPr>
            <w:tcW w:w="160" w:type="dxa"/>
            <w:vAlign w:val="bottom"/>
            <w:shd w:val="clear" w:color="auto" w:fill="B2EEDE"/>
          </w:tcPr>
          <w:p>
            <w:pPr>
              <w:spacing w:after="0"/>
              <w:rPr>
                <w:sz w:val="3"/>
                <w:szCs w:val="3"/>
                <w:color w:val="auto"/>
              </w:rPr>
            </w:pPr>
          </w:p>
        </w:tc>
        <w:tc>
          <w:tcPr>
            <w:tcW w:w="480" w:type="dxa"/>
            <w:vAlign w:val="bottom"/>
            <w:shd w:val="clear" w:color="auto" w:fill="B2EEDE"/>
          </w:tcPr>
          <w:p>
            <w:pPr>
              <w:spacing w:after="0"/>
              <w:rPr>
                <w:sz w:val="3"/>
                <w:szCs w:val="3"/>
                <w:color w:val="auto"/>
              </w:rPr>
            </w:pPr>
          </w:p>
        </w:tc>
        <w:tc>
          <w:tcPr>
            <w:tcW w:w="160" w:type="dxa"/>
            <w:vAlign w:val="bottom"/>
            <w:shd w:val="clear" w:color="auto" w:fill="B2EEDE"/>
          </w:tcPr>
          <w:p>
            <w:pPr>
              <w:spacing w:after="0"/>
              <w:rPr>
                <w:sz w:val="3"/>
                <w:szCs w:val="3"/>
                <w:color w:val="auto"/>
              </w:rPr>
            </w:pPr>
          </w:p>
        </w:tc>
        <w:tc>
          <w:tcPr>
            <w:tcW w:w="720" w:type="dxa"/>
            <w:vAlign w:val="bottom"/>
            <w:shd w:val="clear" w:color="auto" w:fill="B2EEDE"/>
          </w:tcPr>
          <w:p>
            <w:pPr>
              <w:spacing w:after="0"/>
              <w:rPr>
                <w:sz w:val="3"/>
                <w:szCs w:val="3"/>
                <w:color w:val="auto"/>
              </w:rPr>
            </w:pPr>
          </w:p>
        </w:tc>
        <w:tc>
          <w:tcPr>
            <w:tcW w:w="80" w:type="dxa"/>
            <w:vAlign w:val="bottom"/>
            <w:shd w:val="clear" w:color="auto" w:fill="B2EEDE"/>
          </w:tcPr>
          <w:p>
            <w:pPr>
              <w:spacing w:after="0"/>
              <w:rPr>
                <w:sz w:val="3"/>
                <w:szCs w:val="3"/>
                <w:color w:val="auto"/>
              </w:rPr>
            </w:pPr>
          </w:p>
        </w:tc>
        <w:tc>
          <w:tcPr>
            <w:tcW w:w="100" w:type="dxa"/>
            <w:vAlign w:val="bottom"/>
            <w:shd w:val="clear" w:color="auto" w:fill="B2EEDE"/>
          </w:tcPr>
          <w:p>
            <w:pPr>
              <w:spacing w:after="0"/>
              <w:rPr>
                <w:sz w:val="3"/>
                <w:szCs w:val="3"/>
                <w:color w:val="auto"/>
              </w:rPr>
            </w:pPr>
          </w:p>
        </w:tc>
        <w:tc>
          <w:tcPr>
            <w:tcW w:w="740" w:type="dxa"/>
            <w:vAlign w:val="bottom"/>
            <w:gridSpan w:val="2"/>
            <w:vMerge w:val="continue"/>
            <w:shd w:val="clear" w:color="auto" w:fill="B2EEDE"/>
          </w:tcPr>
          <w:p>
            <w:pPr>
              <w:spacing w:after="0"/>
              <w:rPr>
                <w:sz w:val="3"/>
                <w:szCs w:val="3"/>
                <w:color w:val="auto"/>
              </w:rPr>
            </w:pPr>
          </w:p>
        </w:tc>
        <w:tc>
          <w:tcPr>
            <w:tcW w:w="180" w:type="dxa"/>
            <w:vAlign w:val="bottom"/>
            <w:shd w:val="clear" w:color="auto" w:fill="B2EEDE"/>
          </w:tcPr>
          <w:p>
            <w:pPr>
              <w:spacing w:after="0"/>
              <w:rPr>
                <w:sz w:val="3"/>
                <w:szCs w:val="3"/>
                <w:color w:val="auto"/>
              </w:rPr>
            </w:pPr>
          </w:p>
        </w:tc>
        <w:tc>
          <w:tcPr>
            <w:tcW w:w="780" w:type="dxa"/>
            <w:vAlign w:val="bottom"/>
            <w:gridSpan w:val="2"/>
            <w:vMerge w:val="continue"/>
            <w:shd w:val="clear" w:color="auto" w:fill="B2EEDE"/>
          </w:tcPr>
          <w:p>
            <w:pPr>
              <w:spacing w:after="0"/>
              <w:rPr>
                <w:sz w:val="3"/>
                <w:szCs w:val="3"/>
                <w:color w:val="auto"/>
              </w:rPr>
            </w:pPr>
          </w:p>
        </w:tc>
        <w:tc>
          <w:tcPr>
            <w:tcW w:w="120" w:type="dxa"/>
            <w:vAlign w:val="bottom"/>
            <w:shd w:val="clear" w:color="auto" w:fill="B2EED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360" w:type="dxa"/>
            <w:vAlign w:val="bottom"/>
            <w:shd w:val="clear" w:color="auto" w:fill="B2EEDE"/>
          </w:tcPr>
          <w:p>
            <w:pPr>
              <w:spacing w:after="0"/>
              <w:rPr>
                <w:sz w:val="15"/>
                <w:szCs w:val="15"/>
                <w:color w:val="auto"/>
              </w:rPr>
            </w:pPr>
          </w:p>
        </w:tc>
        <w:tc>
          <w:tcPr>
            <w:tcW w:w="740" w:type="dxa"/>
            <w:vAlign w:val="bottom"/>
            <w:shd w:val="clear" w:color="auto" w:fill="B2EEDE"/>
          </w:tcPr>
          <w:p>
            <w:pPr>
              <w:ind w:left="280"/>
              <w:spacing w:after="0"/>
              <w:rPr>
                <w:sz w:val="20"/>
                <w:szCs w:val="20"/>
                <w:color w:val="auto"/>
              </w:rPr>
            </w:pPr>
            <w:r>
              <w:rPr>
                <w:rFonts w:ascii="Arial" w:cs="Arial" w:eastAsia="Arial" w:hAnsi="Arial"/>
                <w:sz w:val="14"/>
                <w:szCs w:val="14"/>
                <w:b w:val="1"/>
                <w:bCs w:val="1"/>
                <w:color w:val="auto"/>
              </w:rPr>
              <w:t>Grant</w:t>
            </w:r>
          </w:p>
        </w:tc>
        <w:tc>
          <w:tcPr>
            <w:tcW w:w="160" w:type="dxa"/>
            <w:vAlign w:val="bottom"/>
            <w:shd w:val="clear" w:color="auto" w:fill="B2EEDE"/>
          </w:tcPr>
          <w:p>
            <w:pPr>
              <w:spacing w:after="0"/>
              <w:rPr>
                <w:sz w:val="15"/>
                <w:szCs w:val="15"/>
                <w:color w:val="auto"/>
              </w:rPr>
            </w:pPr>
          </w:p>
        </w:tc>
        <w:tc>
          <w:tcPr>
            <w:tcW w:w="1100" w:type="dxa"/>
            <w:vAlign w:val="bottom"/>
            <w:gridSpan w:val="3"/>
            <w:shd w:val="clear" w:color="auto" w:fill="B2EEDE"/>
          </w:tcPr>
          <w:p>
            <w:pPr>
              <w:jc w:val="right"/>
              <w:ind w:right="237"/>
              <w:spacing w:after="0"/>
              <w:rPr>
                <w:sz w:val="20"/>
                <w:szCs w:val="20"/>
                <w:color w:val="auto"/>
              </w:rPr>
            </w:pPr>
            <w:r>
              <w:rPr>
                <w:rFonts w:ascii="Arial" w:cs="Arial" w:eastAsia="Arial" w:hAnsi="Arial"/>
                <w:sz w:val="14"/>
                <w:szCs w:val="14"/>
                <w:b w:val="1"/>
                <w:bCs w:val="1"/>
                <w:color w:val="auto"/>
              </w:rPr>
              <w:t>Threshold</w:t>
            </w:r>
          </w:p>
        </w:tc>
        <w:tc>
          <w:tcPr>
            <w:tcW w:w="5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2"/>
            <w:shd w:val="clear" w:color="auto" w:fill="B2EEDE"/>
          </w:tcPr>
          <w:p>
            <w:pPr>
              <w:jc w:val="right"/>
              <w:spacing w:after="0"/>
              <w:rPr>
                <w:sz w:val="20"/>
                <w:szCs w:val="20"/>
                <w:color w:val="auto"/>
              </w:rPr>
            </w:pPr>
            <w:r>
              <w:rPr>
                <w:rFonts w:ascii="Arial" w:cs="Arial" w:eastAsia="Arial" w:hAnsi="Arial"/>
                <w:sz w:val="14"/>
                <w:szCs w:val="14"/>
                <w:b w:val="1"/>
                <w:bCs w:val="1"/>
                <w:color w:val="auto"/>
              </w:rPr>
              <w:t>Maximum</w:t>
            </w:r>
          </w:p>
        </w:tc>
        <w:tc>
          <w:tcPr>
            <w:tcW w:w="200" w:type="dxa"/>
            <w:vAlign w:val="bottom"/>
            <w:shd w:val="clear" w:color="auto" w:fill="B2EEDE"/>
          </w:tcPr>
          <w:p>
            <w:pPr>
              <w:spacing w:after="0"/>
              <w:rPr>
                <w:sz w:val="15"/>
                <w:szCs w:val="15"/>
                <w:color w:val="auto"/>
              </w:rPr>
            </w:pPr>
          </w:p>
        </w:tc>
        <w:tc>
          <w:tcPr>
            <w:tcW w:w="740" w:type="dxa"/>
            <w:vAlign w:val="bottom"/>
            <w:shd w:val="clear" w:color="auto" w:fill="B2EEDE"/>
          </w:tcPr>
          <w:p>
            <w:pPr>
              <w:spacing w:after="0"/>
              <w:rPr>
                <w:sz w:val="20"/>
                <w:szCs w:val="20"/>
                <w:color w:val="auto"/>
              </w:rPr>
            </w:pPr>
            <w:r>
              <w:rPr>
                <w:rFonts w:ascii="Arial" w:cs="Arial" w:eastAsia="Arial" w:hAnsi="Arial"/>
                <w:sz w:val="14"/>
                <w:szCs w:val="14"/>
                <w:b w:val="1"/>
                <w:bCs w:val="1"/>
                <w:color w:val="auto"/>
              </w:rPr>
              <w:t>Threshold</w:t>
            </w:r>
          </w:p>
        </w:tc>
        <w:tc>
          <w:tcPr>
            <w:tcW w:w="160" w:type="dxa"/>
            <w:vAlign w:val="bottom"/>
            <w:shd w:val="clear" w:color="auto" w:fill="B2EEDE"/>
          </w:tcPr>
          <w:p>
            <w:pPr>
              <w:spacing w:after="0"/>
              <w:rPr>
                <w:sz w:val="15"/>
                <w:szCs w:val="15"/>
                <w:color w:val="auto"/>
              </w:rPr>
            </w:pPr>
          </w:p>
        </w:tc>
        <w:tc>
          <w:tcPr>
            <w:tcW w:w="4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Target</w:t>
            </w:r>
          </w:p>
        </w:tc>
        <w:tc>
          <w:tcPr>
            <w:tcW w:w="160" w:type="dxa"/>
            <w:vAlign w:val="bottom"/>
            <w:shd w:val="clear" w:color="auto" w:fill="B2EEDE"/>
          </w:tcPr>
          <w:p>
            <w:pPr>
              <w:spacing w:after="0"/>
              <w:rPr>
                <w:sz w:val="15"/>
                <w:szCs w:val="15"/>
                <w:color w:val="auto"/>
              </w:rPr>
            </w:pPr>
          </w:p>
        </w:tc>
        <w:tc>
          <w:tcPr>
            <w:tcW w:w="720" w:type="dxa"/>
            <w:vAlign w:val="bottom"/>
            <w:shd w:val="clear" w:color="auto" w:fill="B2EEDE"/>
          </w:tcPr>
          <w:p>
            <w:pPr>
              <w:ind w:left="20"/>
              <w:spacing w:after="0"/>
              <w:rPr>
                <w:sz w:val="20"/>
                <w:szCs w:val="20"/>
                <w:color w:val="auto"/>
              </w:rPr>
            </w:pPr>
            <w:r>
              <w:rPr>
                <w:rFonts w:ascii="Arial" w:cs="Arial" w:eastAsia="Arial" w:hAnsi="Arial"/>
                <w:sz w:val="14"/>
                <w:szCs w:val="14"/>
                <w:b w:val="1"/>
                <w:bCs w:val="1"/>
                <w:color w:val="auto"/>
              </w:rPr>
              <w:t>Maximum</w:t>
            </w:r>
          </w:p>
        </w:tc>
        <w:tc>
          <w:tcPr>
            <w:tcW w:w="8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c>
          <w:tcPr>
            <w:tcW w:w="640" w:type="dxa"/>
            <w:vAlign w:val="bottom"/>
            <w:shd w:val="clear" w:color="auto" w:fill="B2EEDE"/>
          </w:tcPr>
          <w:p>
            <w:pPr>
              <w:jc w:val="center"/>
              <w:ind w:left="10"/>
              <w:spacing w:after="0"/>
              <w:rPr>
                <w:sz w:val="20"/>
                <w:szCs w:val="20"/>
                <w:color w:val="auto"/>
              </w:rPr>
            </w:pPr>
            <w:r>
              <w:rPr>
                <w:rFonts w:ascii="Arial" w:cs="Arial" w:eastAsia="Arial" w:hAnsi="Arial"/>
                <w:sz w:val="14"/>
                <w:szCs w:val="14"/>
                <w:b w:val="1"/>
                <w:bCs w:val="1"/>
                <w:color w:val="auto"/>
              </w:rPr>
              <w:t>Units</w:t>
            </w:r>
          </w:p>
        </w:tc>
        <w:tc>
          <w:tcPr>
            <w:tcW w:w="100" w:type="dxa"/>
            <w:vAlign w:val="bottom"/>
            <w:shd w:val="clear" w:color="auto" w:fill="B2EEDE"/>
          </w:tcPr>
          <w:p>
            <w:pPr>
              <w:spacing w:after="0"/>
              <w:rPr>
                <w:sz w:val="15"/>
                <w:szCs w:val="15"/>
                <w:color w:val="auto"/>
              </w:rPr>
            </w:pPr>
          </w:p>
        </w:tc>
        <w:tc>
          <w:tcPr>
            <w:tcW w:w="180" w:type="dxa"/>
            <w:vAlign w:val="bottom"/>
            <w:shd w:val="clear" w:color="auto" w:fill="B2EEDE"/>
          </w:tcPr>
          <w:p>
            <w:pPr>
              <w:spacing w:after="0"/>
              <w:rPr>
                <w:sz w:val="15"/>
                <w:szCs w:val="15"/>
                <w:color w:val="auto"/>
              </w:rPr>
            </w:pPr>
          </w:p>
        </w:tc>
        <w:tc>
          <w:tcPr>
            <w:tcW w:w="7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Awards</w:t>
            </w:r>
          </w:p>
        </w:tc>
        <w:tc>
          <w:tcPr>
            <w:tcW w:w="60" w:type="dxa"/>
            <w:vAlign w:val="bottom"/>
            <w:shd w:val="clear" w:color="auto" w:fill="B2EEDE"/>
          </w:tcPr>
          <w:p>
            <w:pPr>
              <w:spacing w:after="0"/>
              <w:rPr>
                <w:sz w:val="15"/>
                <w:szCs w:val="15"/>
                <w:color w:val="auto"/>
              </w:rPr>
            </w:pPr>
          </w:p>
        </w:tc>
        <w:tc>
          <w:tcPr>
            <w:tcW w:w="1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B2EEDE"/>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shd w:val="clear" w:color="auto" w:fill="B2EEDE"/>
          </w:tcPr>
          <w:p>
            <w:pPr>
              <w:ind w:left="40"/>
              <w:spacing w:after="0" w:line="239"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Date</w:t>
            </w:r>
          </w:p>
        </w:tc>
        <w:tc>
          <w:tcPr>
            <w:tcW w:w="360" w:type="dxa"/>
            <w:vAlign w:val="bottom"/>
            <w:tcBorders>
              <w:bottom w:val="single" w:sz="8" w:color="auto"/>
            </w:tcBorders>
            <w:gridSpan w:val="2"/>
            <w:shd w:val="clear" w:color="auto" w:fill="B2EEDE"/>
          </w:tcPr>
          <w:p>
            <w:pPr>
              <w:ind w:left="120"/>
              <w:spacing w:after="0"/>
              <w:rPr>
                <w:sz w:val="20"/>
                <w:szCs w:val="20"/>
                <w:color w:val="auto"/>
              </w:rPr>
            </w:pPr>
            <w:r>
              <w:rPr>
                <w:rFonts w:ascii="Arial" w:cs="Arial" w:eastAsia="Arial" w:hAnsi="Arial"/>
                <w:sz w:val="14"/>
                <w:szCs w:val="14"/>
                <w:b w:val="1"/>
                <w:bCs w:val="1"/>
                <w:color w:val="auto"/>
              </w:rPr>
              <w:t>​ ​</w:t>
            </w:r>
          </w:p>
        </w:tc>
        <w:tc>
          <w:tcPr>
            <w:tcW w:w="4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B2EEDE"/>
          </w:tcPr>
          <w:p>
            <w:pPr>
              <w:jc w:val="right"/>
              <w:ind w:right="37"/>
              <w:spacing w:after="0"/>
              <w:rPr>
                <w:sz w:val="20"/>
                <w:szCs w:val="20"/>
                <w:color w:val="auto"/>
              </w:rPr>
            </w:pPr>
            <w:r>
              <w:rPr>
                <w:rFonts w:ascii="Arial" w:cs="Arial" w:eastAsia="Arial" w:hAnsi="Arial"/>
                <w:sz w:val="14"/>
                <w:szCs w:val="14"/>
                <w:b w:val="1"/>
                <w:bCs w:val="1"/>
                <w:color w:val="auto"/>
              </w:rPr>
              <w:t>​ ​</w:t>
            </w:r>
          </w:p>
        </w:tc>
        <w:tc>
          <w:tcPr>
            <w:tcW w:w="520" w:type="dxa"/>
            <w:vAlign w:val="bottom"/>
            <w:tcBorders>
              <w:bottom w:val="single" w:sz="8" w:color="auto"/>
            </w:tcBorders>
            <w:shd w:val="clear" w:color="auto" w:fill="B2EEDE"/>
          </w:tcPr>
          <w:p>
            <w:pPr>
              <w:jc w:val="right"/>
              <w:ind w:right="10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 ​</w:t>
            </w:r>
          </w:p>
        </w:tc>
        <w:tc>
          <w:tcPr>
            <w:tcW w:w="560" w:type="dxa"/>
            <w:vAlign w:val="bottom"/>
            <w:tcBorders>
              <w:bottom w:val="single" w:sz="8" w:color="auto"/>
            </w:tcBorders>
            <w:shd w:val="clear" w:color="auto" w:fill="B2EEDE"/>
          </w:tcPr>
          <w:p>
            <w:pPr>
              <w:jc w:val="right"/>
              <w:ind w:right="1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740" w:type="dxa"/>
            <w:vAlign w:val="bottom"/>
            <w:tcBorders>
              <w:bottom w:val="single" w:sz="8" w:color="auto"/>
            </w:tcBorders>
            <w:shd w:val="clear" w:color="auto" w:fill="B2EEDE"/>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B2EEDE"/>
          </w:tcPr>
          <w:p>
            <w:pPr>
              <w:ind w:left="40"/>
              <w:spacing w:after="0"/>
              <w:rPr>
                <w:sz w:val="20"/>
                <w:szCs w:val="20"/>
                <w:color w:val="auto"/>
              </w:rPr>
            </w:pPr>
            <w:r>
              <w:rPr>
                <w:rFonts w:ascii="Arial" w:cs="Arial" w:eastAsia="Arial" w:hAnsi="Arial"/>
                <w:sz w:val="14"/>
                <w:szCs w:val="14"/>
                <w:b w:val="1"/>
                <w:bCs w:val="1"/>
                <w:color w:val="auto"/>
              </w:rPr>
              <w:t>​ ​</w:t>
            </w:r>
          </w:p>
        </w:tc>
        <w:tc>
          <w:tcPr>
            <w:tcW w:w="480" w:type="dxa"/>
            <w:vAlign w:val="bottom"/>
            <w:tcBorders>
              <w:bottom w:val="single" w:sz="8" w:color="auto"/>
            </w:tcBorders>
            <w:shd w:val="clear" w:color="auto" w:fill="B2EEDE"/>
          </w:tcPr>
          <w:p>
            <w:pPr>
              <w:ind w:left="1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B2EEDE"/>
          </w:tcPr>
          <w:p>
            <w:pPr>
              <w:ind w:left="40"/>
              <w:spacing w:after="0"/>
              <w:rPr>
                <w:sz w:val="20"/>
                <w:szCs w:val="20"/>
                <w:color w:val="auto"/>
              </w:rPr>
            </w:pPr>
            <w:r>
              <w:rPr>
                <w:rFonts w:ascii="Arial" w:cs="Arial" w:eastAsia="Arial" w:hAnsi="Arial"/>
                <w:sz w:val="14"/>
                <w:szCs w:val="14"/>
                <w:b w:val="1"/>
                <w:bCs w:val="1"/>
                <w:color w:val="auto"/>
              </w:rPr>
              <w:t>​ ​</w:t>
            </w:r>
          </w:p>
        </w:tc>
        <w:tc>
          <w:tcPr>
            <w:tcW w:w="720" w:type="dxa"/>
            <w:vAlign w:val="bottom"/>
            <w:tcBorders>
              <w:bottom w:val="single" w:sz="8" w:color="auto"/>
            </w:tcBorders>
            <w:shd w:val="clear" w:color="auto" w:fill="B2EEDE"/>
          </w:tcPr>
          <w:p>
            <w:pP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
                <w:szCs w:val="1"/>
                <w:b w:val="1"/>
                <w:bCs w:val="1"/>
                <w:color w:val="auto"/>
                <w:w w:val="4294942296"/>
              </w:rPr>
              <w:t>​</w:t>
            </w:r>
          </w:p>
        </w:tc>
        <w:tc>
          <w:tcPr>
            <w:tcW w:w="10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B2EEDE"/>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100" w:type="dxa"/>
            <w:vAlign w:val="bottom"/>
            <w:tcBorders>
              <w:bottom w:val="single" w:sz="8" w:color="auto"/>
            </w:tcBorders>
            <w:shd w:val="clear" w:color="auto" w:fill="B2EEDE"/>
          </w:tcPr>
          <w:p>
            <w:pPr>
              <w:spacing w:after="0"/>
              <w:rPr>
                <w:sz w:val="20"/>
                <w:szCs w:val="20"/>
                <w:color w:val="auto"/>
              </w:rPr>
            </w:pPr>
          </w:p>
        </w:tc>
        <w:tc>
          <w:tcPr>
            <w:tcW w:w="18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720" w:type="dxa"/>
            <w:vAlign w:val="bottom"/>
            <w:tcBorders>
              <w:bottom w:val="single" w:sz="8" w:color="auto"/>
            </w:tcBorders>
            <w:shd w:val="clear" w:color="auto" w:fill="B2EEDE"/>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60" w:type="dxa"/>
            <w:vAlign w:val="bottom"/>
            <w:tcBorders>
              <w:bottom w:val="single" w:sz="8" w:color="auto"/>
            </w:tcBorders>
            <w:shd w:val="clear" w:color="auto" w:fill="B2EEDE"/>
          </w:tcPr>
          <w:p>
            <w:pPr>
              <w:spacing w:after="0"/>
              <w:rPr>
                <w:sz w:val="20"/>
                <w:szCs w:val="20"/>
                <w:color w:val="auto"/>
              </w:rPr>
            </w:pPr>
          </w:p>
        </w:tc>
        <w:tc>
          <w:tcPr>
            <w:tcW w:w="1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1"/>
        </w:trPr>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Sigurdur O. Olafsson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9"/>
        </w:trPr>
        <w:tc>
          <w:tcPr>
            <w:tcW w:w="1480" w:type="dxa"/>
            <w:vAlign w:val="bottom"/>
            <w:tcBorders>
              <w:bottom w:val="single" w:sz="8" w:color="7F7F7F"/>
            </w:tcBorders>
            <w:gridSpan w:val="2"/>
          </w:tcPr>
          <w:p>
            <w:pPr>
              <w:ind w:left="60"/>
              <w:spacing w:after="0" w:line="29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STIP</w:t>
            </w:r>
          </w:p>
        </w:tc>
        <w:tc>
          <w:tcPr>
            <w:tcW w:w="3660" w:type="dxa"/>
            <w:vAlign w:val="bottom"/>
            <w:tcBorders>
              <w:bottom w:val="single" w:sz="8" w:color="7F7F7F"/>
            </w:tcBorders>
            <w:gridSpan w:val="9"/>
          </w:tcPr>
          <w:p>
            <w:pPr>
              <w:jc w:val="right"/>
              <w:spacing w:after="0" w:line="298"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​7/31/2025</w:t>
            </w:r>
            <w:r>
              <w:rPr>
                <w:rFonts w:ascii="Arial" w:cs="Arial" w:eastAsia="Arial" w:hAnsi="Arial"/>
                <w:sz w:val="28"/>
                <w:szCs w:val="28"/>
                <w:color w:val="auto"/>
                <w:vertAlign w:val="superscript"/>
              </w:rPr>
              <w:t>​​ ​ ​</w:t>
            </w:r>
            <w:r>
              <w:rPr>
                <w:rFonts w:ascii="Arial" w:cs="Arial" w:eastAsia="Arial" w:hAnsi="Arial"/>
                <w:sz w:val="14"/>
                <w:szCs w:val="14"/>
                <w:color w:val="auto"/>
              </w:rPr>
              <w:t xml:space="preserve">​1,200,000 </w:t>
            </w:r>
            <w:r>
              <w:rPr>
                <w:rFonts w:ascii="Arial" w:cs="Arial" w:eastAsia="Arial" w:hAnsi="Arial"/>
                <w:sz w:val="28"/>
                <w:szCs w:val="28"/>
                <w:color w:val="auto"/>
                <w:vertAlign w:val="superscript"/>
              </w:rPr>
              <w:t>​​ ​ ​</w:t>
            </w:r>
            <w:r>
              <w:rPr>
                <w:rFonts w:ascii="Arial" w:cs="Arial" w:eastAsia="Arial" w:hAnsi="Arial"/>
                <w:sz w:val="14"/>
                <w:szCs w:val="14"/>
                <w:color w:val="auto"/>
              </w:rPr>
              <w:t>​2,400,000</w:t>
            </w:r>
            <w:r>
              <w:rPr>
                <w:rFonts w:ascii="Arial" w:cs="Arial" w:eastAsia="Arial" w:hAnsi="Arial"/>
                <w:sz w:val="17"/>
                <w:szCs w:val="17"/>
                <w:color w:val="auto"/>
                <w:vertAlign w:val="superscript"/>
              </w:rPr>
              <w:t>(4)</w:t>
            </w:r>
            <w:r>
              <w:rPr>
                <w:rFonts w:ascii="Arial" w:cs="Arial" w:eastAsia="Arial" w:hAnsi="Arial"/>
                <w:sz w:val="28"/>
                <w:szCs w:val="28"/>
                <w:color w:val="auto"/>
                <w:vertAlign w:val="superscript"/>
              </w:rPr>
              <w:t>​​ ​ ​</w:t>
            </w:r>
            <w:r>
              <w:rPr>
                <w:rFonts w:ascii="Arial" w:cs="Arial" w:eastAsia="Arial" w:hAnsi="Arial"/>
                <w:sz w:val="14"/>
                <w:szCs w:val="14"/>
                <w:color w:val="auto"/>
              </w:rPr>
              <w:t>​4,800,000</w:t>
            </w:r>
            <w:r>
              <w:rPr>
                <w:rFonts w:ascii="Arial" w:cs="Arial" w:eastAsia="Arial" w:hAnsi="Arial"/>
                <w:sz w:val="17"/>
                <w:szCs w:val="17"/>
                <w:color w:val="auto"/>
                <w:vertAlign w:val="superscript"/>
              </w:rPr>
              <w:t>(4)</w:t>
            </w:r>
            <w:r>
              <w:rPr>
                <w:rFonts w:ascii="Arial" w:cs="Arial" w:eastAsia="Arial" w:hAnsi="Arial"/>
                <w:sz w:val="28"/>
                <w:szCs w:val="28"/>
                <w:color w:val="auto"/>
                <w:vertAlign w:val="superscript"/>
              </w:rPr>
              <w:t>​​ ​</w:t>
            </w:r>
          </w:p>
        </w:tc>
        <w:tc>
          <w:tcPr>
            <w:tcW w:w="740" w:type="dxa"/>
            <w:vAlign w:val="bottom"/>
            <w:tcBorders>
              <w:bottom w:val="single" w:sz="8" w:color="7F7F7F"/>
            </w:tcBorders>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7F7F7F"/>
            </w:tcBorders>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7F7F7F"/>
            </w:tcBorders>
            <w:gridSpan w:val="2"/>
          </w:tcPr>
          <w:p>
            <w:pPr>
              <w:ind w:left="6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7F7F7F"/>
            </w:tcBorders>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7F7F7F"/>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7F7F7F"/>
            </w:tcBorders>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263"/>
        </w:trPr>
        <w:tc>
          <w:tcPr>
            <w:tcW w:w="1480" w:type="dxa"/>
            <w:vAlign w:val="bottom"/>
            <w:tcBorders>
              <w:bottom w:val="single" w:sz="8" w:color="auto"/>
            </w:tcBorders>
            <w:gridSpan w:val="2"/>
          </w:tcPr>
          <w:p>
            <w:pPr>
              <w:ind w:left="6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RSUs</w:t>
            </w:r>
          </w:p>
        </w:tc>
        <w:tc>
          <w:tcPr>
            <w:tcW w:w="1100" w:type="dxa"/>
            <w:vAlign w:val="bottom"/>
            <w:tcBorders>
              <w:bottom w:val="single" w:sz="8" w:color="auto"/>
            </w:tcBorders>
            <w:gridSpan w:val="3"/>
          </w:tcPr>
          <w:p>
            <w:pPr>
              <w:ind w:left="40"/>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​8/14/2025</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w:t>
            </w:r>
            <w:r>
              <w:rPr>
                <w:rFonts w:ascii="Arial" w:cs="Arial" w:eastAsia="Arial" w:hAnsi="Arial"/>
                <w:sz w:val="28"/>
                <w:szCs w:val="28"/>
                <w:b w:val="1"/>
                <w:bCs w:val="1"/>
                <w:color w:val="auto"/>
                <w:vertAlign w:val="superscript"/>
              </w:rPr>
              <w:t>​</w:t>
            </w: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 78,127</w:t>
            </w:r>
            <w:r>
              <w:rPr>
                <w:rFonts w:ascii="Arial" w:cs="Arial" w:eastAsia="Arial" w:hAnsi="Arial"/>
                <w:sz w:val="8"/>
                <w:szCs w:val="8"/>
                <w:color w:val="auto"/>
              </w:rPr>
              <w:t>(6)</w:t>
            </w:r>
            <w:r>
              <w:rPr>
                <w:rFonts w:ascii="Arial" w:cs="Arial" w:eastAsia="Arial" w:hAnsi="Arial"/>
                <w:sz w:val="14"/>
                <w:szCs w:val="14"/>
                <w:color w:val="auto"/>
              </w:rPr>
              <w:t>​​ ​</w:t>
            </w:r>
          </w:p>
        </w:tc>
        <w:tc>
          <w:tcPr>
            <w:tcW w:w="72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​5,999,962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34"/>
        </w:trPr>
        <w:tc>
          <w:tcPr>
            <w:tcW w:w="1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210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Christiana Stamoulis</w:t>
            </w:r>
          </w:p>
        </w:tc>
        <w:tc>
          <w:tcPr>
            <w:tcW w:w="1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5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9"/>
        </w:trPr>
        <w:tc>
          <w:tcPr>
            <w:tcW w:w="120" w:type="dxa"/>
            <w:vAlign w:val="bottom"/>
            <w:tcBorders>
              <w:bottom w:val="single" w:sz="8" w:color="7F7F7F"/>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7F7F7F"/>
            </w:tcBorders>
            <w:shd w:val="clear" w:color="auto" w:fill="E5E5E5"/>
          </w:tcPr>
          <w:p>
            <w:pPr>
              <w:spacing w:after="0"/>
              <w:rPr>
                <w:sz w:val="20"/>
                <w:szCs w:val="20"/>
                <w:color w:val="auto"/>
              </w:rPr>
            </w:pPr>
            <w:r>
              <w:rPr>
                <w:rFonts w:ascii="Arial" w:cs="Arial" w:eastAsia="Arial" w:hAnsi="Arial"/>
                <w:sz w:val="14"/>
                <w:szCs w:val="14"/>
                <w:color w:val="auto"/>
              </w:rPr>
              <w:t>STIP</w:t>
            </w:r>
          </w:p>
        </w:tc>
        <w:tc>
          <w:tcPr>
            <w:tcW w:w="1100" w:type="dxa"/>
            <w:vAlign w:val="bottom"/>
            <w:tcBorders>
              <w:bottom w:val="single" w:sz="8" w:color="7F7F7F"/>
            </w:tcBorders>
            <w:gridSpan w:val="3"/>
            <w:shd w:val="clear" w:color="auto" w:fill="E5E5E5"/>
          </w:tcPr>
          <w:p>
            <w:pPr>
              <w:ind w:left="40"/>
              <w:spacing w:after="0" w:line="298"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​9/22/2025</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400" w:type="dxa"/>
            <w:vAlign w:val="bottom"/>
            <w:tcBorders>
              <w:bottom w:val="single" w:sz="8" w:color="7F7F7F"/>
            </w:tcBorders>
            <w:shd w:val="clear" w:color="auto" w:fill="E5E5E5"/>
          </w:tcPr>
          <w:p>
            <w:pPr>
              <w:spacing w:after="0"/>
              <w:rPr>
                <w:sz w:val="24"/>
                <w:szCs w:val="24"/>
                <w:color w:val="auto"/>
              </w:rPr>
            </w:pPr>
          </w:p>
        </w:tc>
        <w:tc>
          <w:tcPr>
            <w:tcW w:w="500" w:type="dxa"/>
            <w:vAlign w:val="bottom"/>
            <w:tcBorders>
              <w:bottom w:val="single" w:sz="8" w:color="7F7F7F"/>
            </w:tcBorders>
            <w:shd w:val="clear" w:color="auto" w:fill="E5E5E5"/>
          </w:tcPr>
          <w:p>
            <w:pPr>
              <w:jc w:val="right"/>
              <w:spacing w:after="0" w:line="29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9"/>
                <w:szCs w:val="9"/>
                <w:color w:val="auto"/>
              </w:rPr>
              <w:t>(5)</w:t>
            </w:r>
            <w:r>
              <w:rPr>
                <w:rFonts w:ascii="Arial" w:cs="Arial" w:eastAsia="Arial" w:hAnsi="Arial"/>
                <w:sz w:val="14"/>
                <w:szCs w:val="14"/>
                <w:color w:val="auto"/>
              </w:rPr>
              <w:t>​​ ​ ​</w:t>
            </w:r>
            <w:r>
              <w:rPr>
                <w:rFonts w:ascii="Arial" w:cs="Arial" w:eastAsia="Arial" w:hAnsi="Arial"/>
                <w:sz w:val="28"/>
                <w:szCs w:val="28"/>
                <w:color w:val="auto"/>
                <w:vertAlign w:val="subscript"/>
              </w:rPr>
              <w:t>​</w:t>
            </w:r>
          </w:p>
        </w:tc>
        <w:tc>
          <w:tcPr>
            <w:tcW w:w="900" w:type="dxa"/>
            <w:vAlign w:val="bottom"/>
            <w:tcBorders>
              <w:bottom w:val="single" w:sz="8" w:color="7F7F7F"/>
            </w:tcBorders>
            <w:gridSpan w:val="2"/>
            <w:shd w:val="clear" w:color="auto" w:fill="E5E5E5"/>
          </w:tcPr>
          <w:p>
            <w:pPr>
              <w:jc w:val="right"/>
              <w:spacing w:after="0" w:line="298" w:lineRule="exact"/>
              <w:rPr>
                <w:sz w:val="20"/>
                <w:szCs w:val="20"/>
                <w:color w:val="auto"/>
              </w:rPr>
            </w:pPr>
            <w:r>
              <w:rPr>
                <w:rFonts w:ascii="Arial" w:cs="Arial" w:eastAsia="Arial" w:hAnsi="Arial"/>
                <w:sz w:val="14"/>
                <w:szCs w:val="14"/>
                <w:color w:val="auto"/>
              </w:rPr>
              <w:t>700,000</w:t>
            </w:r>
            <w:r>
              <w:rPr>
                <w:rFonts w:ascii="Arial" w:cs="Arial" w:eastAsia="Arial" w:hAnsi="Arial"/>
                <w:sz w:val="17"/>
                <w:szCs w:val="17"/>
                <w:color w:val="auto"/>
                <w:vertAlign w:val="superscript"/>
              </w:rPr>
              <w:t>(5)</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760" w:type="dxa"/>
            <w:vAlign w:val="bottom"/>
            <w:tcBorders>
              <w:bottom w:val="single" w:sz="8" w:color="7F7F7F"/>
            </w:tcBorders>
            <w:gridSpan w:val="2"/>
            <w:shd w:val="clear" w:color="auto" w:fill="E5E5E5"/>
          </w:tcPr>
          <w:p>
            <w:pPr>
              <w:jc w:val="right"/>
              <w:spacing w:after="0" w:line="298" w:lineRule="exact"/>
              <w:rPr>
                <w:sz w:val="20"/>
                <w:szCs w:val="20"/>
                <w:color w:val="auto"/>
              </w:rPr>
            </w:pPr>
            <w:r>
              <w:rPr>
                <w:rFonts w:ascii="Arial" w:cs="Arial" w:eastAsia="Arial" w:hAnsi="Arial"/>
                <w:sz w:val="14"/>
                <w:szCs w:val="14"/>
                <w:color w:val="auto"/>
              </w:rPr>
              <w:t xml:space="preserve">700,000 </w:t>
            </w:r>
            <w:r>
              <w:rPr>
                <w:rFonts w:ascii="Arial" w:cs="Arial" w:eastAsia="Arial" w:hAnsi="Arial"/>
                <w:sz w:val="28"/>
                <w:szCs w:val="28"/>
                <w:color w:val="auto"/>
                <w:vertAlign w:val="superscript"/>
              </w:rPr>
              <w:t>​​ ​</w:t>
            </w:r>
          </w:p>
        </w:tc>
        <w:tc>
          <w:tcPr>
            <w:tcW w:w="740" w:type="dxa"/>
            <w:vAlign w:val="bottom"/>
            <w:tcBorders>
              <w:bottom w:val="single" w:sz="8" w:color="7F7F7F"/>
            </w:tcBorders>
            <w:shd w:val="clear" w:color="auto" w:fill="E5E5E5"/>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F7F7F"/>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7F7F7F"/>
            </w:tcBorders>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F7F7F"/>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7F7F7F"/>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7F7F7F"/>
            </w:tcBorders>
            <w:gridSpan w:val="2"/>
            <w:shd w:val="clear" w:color="auto" w:fill="E5E5E5"/>
          </w:tcPr>
          <w:p>
            <w:pPr>
              <w:ind w:left="6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7F7F7F"/>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7F7F7F"/>
            </w:tcBorders>
            <w:shd w:val="clear" w:color="auto" w:fill="E5E5E5"/>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7F7F7F"/>
            </w:tcBorders>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7F7F7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7F7F7F"/>
            </w:tcBorders>
            <w:gridSpan w:val="2"/>
            <w:shd w:val="clear" w:color="auto" w:fill="E5E5E5"/>
          </w:tcPr>
          <w:p>
            <w:pPr>
              <w:jc w:val="right"/>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263"/>
        </w:trPr>
        <w:tc>
          <w:tcPr>
            <w:tcW w:w="1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4"/>
                <w:szCs w:val="14"/>
                <w:color w:val="auto"/>
              </w:rPr>
              <w:t>RSUs</w:t>
            </w:r>
          </w:p>
        </w:tc>
        <w:tc>
          <w:tcPr>
            <w:tcW w:w="1100" w:type="dxa"/>
            <w:vAlign w:val="bottom"/>
            <w:tcBorders>
              <w:bottom w:val="single" w:sz="8" w:color="auto"/>
            </w:tcBorders>
            <w:gridSpan w:val="3"/>
            <w:shd w:val="clear" w:color="auto" w:fill="E5E5E5"/>
          </w:tcPr>
          <w:p>
            <w:pPr>
              <w:ind w:left="40"/>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​9/23/2025</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w:t>
            </w:r>
            <w:r>
              <w:rPr>
                <w:rFonts w:ascii="Arial" w:cs="Arial" w:eastAsia="Arial" w:hAnsi="Arial"/>
                <w:sz w:val="28"/>
                <w:szCs w:val="28"/>
                <w:b w:val="1"/>
                <w:bCs w:val="1"/>
                <w:color w:val="auto"/>
                <w:vertAlign w:val="superscript"/>
              </w:rPr>
              <w:t>​</w:t>
            </w:r>
          </w:p>
        </w:tc>
        <w:tc>
          <w:tcPr>
            <w:tcW w:w="400" w:type="dxa"/>
            <w:vAlign w:val="bottom"/>
            <w:tcBorders>
              <w:bottom w:val="single" w:sz="8" w:color="auto"/>
            </w:tcBorders>
            <w:shd w:val="clear" w:color="auto" w:fill="E5E5E5"/>
          </w:tcPr>
          <w:p>
            <w:pPr>
              <w:spacing w:after="0"/>
              <w:rPr>
                <w:sz w:val="22"/>
                <w:szCs w:val="22"/>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5E5E5"/>
          </w:tcPr>
          <w:p>
            <w:pPr>
              <w:spacing w:after="0"/>
              <w:rPr>
                <w:sz w:val="22"/>
                <w:szCs w:val="22"/>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spacing w:after="0"/>
              <w:rPr>
                <w:sz w:val="22"/>
                <w:szCs w:val="22"/>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E5E5E5"/>
          </w:tcPr>
          <w:p>
            <w:pPr>
              <w:ind w:left="6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gridSpan w:val="3"/>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​109,378</w:t>
            </w:r>
            <w:r>
              <w:rPr>
                <w:rFonts w:ascii="Arial" w:cs="Arial" w:eastAsia="Arial" w:hAnsi="Arial"/>
                <w:sz w:val="17"/>
                <w:szCs w:val="17"/>
                <w:color w:val="auto"/>
                <w:vertAlign w:val="superscript"/>
              </w:rPr>
              <w:t>(6)</w:t>
            </w:r>
            <w:r>
              <w:rPr>
                <w:rFonts w:ascii="Arial" w:cs="Arial" w:eastAsia="Arial" w:hAnsi="Arial"/>
                <w:sz w:val="28"/>
                <w:szCs w:val="28"/>
                <w:color w:val="auto"/>
                <w:vertAlign w:val="superscript"/>
              </w:rPr>
              <w:t>​​ ​</w:t>
            </w:r>
          </w:p>
        </w:tc>
        <w:tc>
          <w:tcPr>
            <w:tcW w:w="72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​8,399,946</w:t>
            </w:r>
          </w:p>
        </w:tc>
        <w:tc>
          <w:tcPr>
            <w:tcW w:w="60" w:type="dxa"/>
            <w:vAlign w:val="bottom"/>
            <w:tcBorders>
              <w:bottom w:val="single" w:sz="8" w:color="auto"/>
            </w:tcBorders>
            <w:shd w:val="clear" w:color="auto" w:fill="E5E5E5"/>
          </w:tcPr>
          <w:p>
            <w:pPr>
              <w:spacing w:after="0"/>
              <w:rPr>
                <w:sz w:val="22"/>
                <w:szCs w:val="22"/>
                <w:color w:val="auto"/>
              </w:rPr>
            </w:pP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34"/>
        </w:trPr>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20"/>
                <w:szCs w:val="20"/>
                <w:color w:val="auto"/>
              </w:rPr>
            </w:pPr>
            <w:r>
              <w:rPr>
                <w:rFonts w:ascii="Arial" w:cs="Arial" w:eastAsia="Arial" w:hAnsi="Arial"/>
                <w:sz w:val="14"/>
                <w:szCs w:val="14"/>
                <w:b w:val="1"/>
                <w:bCs w:val="1"/>
                <w:color w:val="auto"/>
              </w:rPr>
              <w:t>Henriette Nielsen</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9"/>
        </w:trPr>
        <w:tc>
          <w:tcPr>
            <w:tcW w:w="1480" w:type="dxa"/>
            <w:vAlign w:val="bottom"/>
            <w:tcBorders>
              <w:bottom w:val="single" w:sz="8" w:color="auto"/>
            </w:tcBorders>
            <w:gridSpan w:val="2"/>
          </w:tcPr>
          <w:p>
            <w:pPr>
              <w:ind w:left="60"/>
              <w:spacing w:after="0" w:line="29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STIP</w:t>
            </w:r>
          </w:p>
        </w:tc>
        <w:tc>
          <w:tcPr>
            <w:tcW w:w="1100" w:type="dxa"/>
            <w:vAlign w:val="bottom"/>
            <w:tcBorders>
              <w:bottom w:val="single" w:sz="8" w:color="auto"/>
            </w:tcBorders>
            <w:gridSpan w:val="3"/>
          </w:tcPr>
          <w:p>
            <w:pPr>
              <w:ind w:left="40"/>
              <w:spacing w:after="0" w:line="298"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3/5/2025</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900" w:type="dxa"/>
            <w:vAlign w:val="bottom"/>
            <w:tcBorders>
              <w:bottom w:val="single" w:sz="8" w:color="auto"/>
            </w:tcBorders>
            <w:gridSpan w:val="2"/>
          </w:tcPr>
          <w:p>
            <w:pPr>
              <w:jc w:val="right"/>
              <w:spacing w:after="0" w:line="298" w:lineRule="exact"/>
              <w:rPr>
                <w:sz w:val="20"/>
                <w:szCs w:val="20"/>
                <w:color w:val="auto"/>
              </w:rPr>
            </w:pPr>
            <w:r>
              <w:rPr>
                <w:rFonts w:ascii="Arial" w:cs="Arial" w:eastAsia="Arial" w:hAnsi="Arial"/>
                <w:sz w:val="14"/>
                <w:szCs w:val="14"/>
                <w:color w:val="auto"/>
              </w:rPr>
              <w:t xml:space="preserve">249,060 </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900" w:type="dxa"/>
            <w:vAlign w:val="bottom"/>
            <w:tcBorders>
              <w:bottom w:val="single" w:sz="8" w:color="auto"/>
            </w:tcBorders>
            <w:gridSpan w:val="2"/>
          </w:tcPr>
          <w:p>
            <w:pPr>
              <w:jc w:val="right"/>
              <w:spacing w:after="0" w:line="298" w:lineRule="exact"/>
              <w:rPr>
                <w:sz w:val="20"/>
                <w:szCs w:val="20"/>
                <w:color w:val="auto"/>
              </w:rPr>
            </w:pPr>
            <w:r>
              <w:rPr>
                <w:rFonts w:ascii="Arial" w:cs="Arial" w:eastAsia="Arial" w:hAnsi="Arial"/>
                <w:sz w:val="14"/>
                <w:szCs w:val="14"/>
                <w:color w:val="auto"/>
              </w:rPr>
              <w:t xml:space="preserve">498,120 </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760" w:type="dxa"/>
            <w:vAlign w:val="bottom"/>
            <w:tcBorders>
              <w:bottom w:val="single" w:sz="8" w:color="auto"/>
            </w:tcBorders>
            <w:gridSpan w:val="2"/>
          </w:tcPr>
          <w:p>
            <w:pPr>
              <w:jc w:val="right"/>
              <w:spacing w:after="0" w:line="298" w:lineRule="exact"/>
              <w:rPr>
                <w:sz w:val="20"/>
                <w:szCs w:val="20"/>
                <w:color w:val="auto"/>
              </w:rPr>
            </w:pPr>
            <w:r>
              <w:rPr>
                <w:rFonts w:ascii="Arial" w:cs="Arial" w:eastAsia="Arial" w:hAnsi="Arial"/>
                <w:sz w:val="14"/>
                <w:szCs w:val="14"/>
                <w:color w:val="auto"/>
              </w:rPr>
              <w:t xml:space="preserve">996,240 </w:t>
            </w:r>
            <w:r>
              <w:rPr>
                <w:rFonts w:ascii="Arial" w:cs="Arial" w:eastAsia="Arial" w:hAnsi="Arial"/>
                <w:sz w:val="28"/>
                <w:szCs w:val="28"/>
                <w:color w:val="auto"/>
                <w:vertAlign w:val="superscript"/>
              </w:rPr>
              <w:t>​​ ​</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235"/>
        </w:trPr>
        <w:tc>
          <w:tcPr>
            <w:tcW w:w="1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Lisa French</w:t>
            </w:r>
          </w:p>
        </w:tc>
        <w:tc>
          <w:tcPr>
            <w:tcW w:w="7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5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9"/>
        </w:trPr>
        <w:tc>
          <w:tcPr>
            <w:tcW w:w="1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4"/>
                <w:szCs w:val="14"/>
                <w:color w:val="auto"/>
              </w:rPr>
              <w:t>STIP</w:t>
            </w:r>
          </w:p>
        </w:tc>
        <w:tc>
          <w:tcPr>
            <w:tcW w:w="1100" w:type="dxa"/>
            <w:vAlign w:val="bottom"/>
            <w:tcBorders>
              <w:bottom w:val="single" w:sz="8" w:color="auto"/>
            </w:tcBorders>
            <w:gridSpan w:val="3"/>
            <w:shd w:val="clear" w:color="auto" w:fill="E5E5E5"/>
          </w:tcPr>
          <w:p>
            <w:pPr>
              <w:ind w:left="40"/>
              <w:spacing w:after="0" w:line="298"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3/5/2025</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900" w:type="dxa"/>
            <w:vAlign w:val="bottom"/>
            <w:tcBorders>
              <w:bottom w:val="single" w:sz="8" w:color="auto"/>
            </w:tcBorders>
            <w:gridSpan w:val="2"/>
            <w:shd w:val="clear" w:color="auto" w:fill="E5E5E5"/>
          </w:tcPr>
          <w:p>
            <w:pPr>
              <w:jc w:val="right"/>
              <w:spacing w:after="0" w:line="298" w:lineRule="exact"/>
              <w:rPr>
                <w:sz w:val="20"/>
                <w:szCs w:val="20"/>
                <w:color w:val="auto"/>
              </w:rPr>
            </w:pPr>
            <w:r>
              <w:rPr>
                <w:rFonts w:ascii="Arial" w:cs="Arial" w:eastAsia="Arial" w:hAnsi="Arial"/>
                <w:sz w:val="14"/>
                <w:szCs w:val="14"/>
                <w:color w:val="auto"/>
              </w:rPr>
              <w:t xml:space="preserve">238,697 </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900" w:type="dxa"/>
            <w:vAlign w:val="bottom"/>
            <w:tcBorders>
              <w:bottom w:val="single" w:sz="8" w:color="auto"/>
            </w:tcBorders>
            <w:gridSpan w:val="2"/>
            <w:shd w:val="clear" w:color="auto" w:fill="E5E5E5"/>
          </w:tcPr>
          <w:p>
            <w:pPr>
              <w:jc w:val="right"/>
              <w:spacing w:after="0" w:line="298" w:lineRule="exact"/>
              <w:rPr>
                <w:sz w:val="20"/>
                <w:szCs w:val="20"/>
                <w:color w:val="auto"/>
              </w:rPr>
            </w:pPr>
            <w:r>
              <w:rPr>
                <w:rFonts w:ascii="Arial" w:cs="Arial" w:eastAsia="Arial" w:hAnsi="Arial"/>
                <w:sz w:val="14"/>
                <w:szCs w:val="14"/>
                <w:color w:val="auto"/>
              </w:rPr>
              <w:t xml:space="preserve">477,394 </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760" w:type="dxa"/>
            <w:vAlign w:val="bottom"/>
            <w:tcBorders>
              <w:bottom w:val="single" w:sz="8" w:color="auto"/>
            </w:tcBorders>
            <w:gridSpan w:val="2"/>
            <w:shd w:val="clear" w:color="auto" w:fill="E5E5E5"/>
          </w:tcPr>
          <w:p>
            <w:pPr>
              <w:jc w:val="right"/>
              <w:spacing w:after="0" w:line="298" w:lineRule="exact"/>
              <w:rPr>
                <w:sz w:val="20"/>
                <w:szCs w:val="20"/>
                <w:color w:val="auto"/>
              </w:rPr>
            </w:pPr>
            <w:r>
              <w:rPr>
                <w:rFonts w:ascii="Arial" w:cs="Arial" w:eastAsia="Arial" w:hAnsi="Arial"/>
                <w:sz w:val="14"/>
                <w:szCs w:val="14"/>
                <w:color w:val="auto"/>
              </w:rPr>
              <w:t xml:space="preserve">954,788 </w:t>
            </w:r>
            <w:r>
              <w:rPr>
                <w:rFonts w:ascii="Arial" w:cs="Arial" w:eastAsia="Arial" w:hAnsi="Arial"/>
                <w:sz w:val="28"/>
                <w:szCs w:val="28"/>
                <w:color w:val="auto"/>
                <w:vertAlign w:val="superscript"/>
              </w:rPr>
              <w:t>​​ ​</w:t>
            </w:r>
          </w:p>
        </w:tc>
        <w:tc>
          <w:tcPr>
            <w:tcW w:w="74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E5E5E5"/>
          </w:tcPr>
          <w:p>
            <w:pPr>
              <w:ind w:left="6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235"/>
        </w:trPr>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20"/>
                <w:szCs w:val="20"/>
                <w:color w:val="auto"/>
              </w:rPr>
            </w:pPr>
            <w:r>
              <w:rPr>
                <w:rFonts w:ascii="Arial" w:cs="Arial" w:eastAsia="Arial" w:hAnsi="Arial"/>
                <w:sz w:val="14"/>
                <w:szCs w:val="14"/>
                <w:b w:val="1"/>
                <w:bCs w:val="1"/>
                <w:color w:val="auto"/>
              </w:rPr>
              <w:t>Mark A. Tyndall</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9"/>
        </w:trPr>
        <w:tc>
          <w:tcPr>
            <w:tcW w:w="1480" w:type="dxa"/>
            <w:vAlign w:val="bottom"/>
            <w:tcBorders>
              <w:bottom w:val="single" w:sz="8" w:color="auto"/>
            </w:tcBorders>
            <w:gridSpan w:val="2"/>
          </w:tcPr>
          <w:p>
            <w:pPr>
              <w:ind w:left="60"/>
              <w:spacing w:after="0" w:line="29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STIP</w:t>
            </w:r>
          </w:p>
        </w:tc>
        <w:tc>
          <w:tcPr>
            <w:tcW w:w="1100" w:type="dxa"/>
            <w:vAlign w:val="bottom"/>
            <w:tcBorders>
              <w:bottom w:val="single" w:sz="8" w:color="auto"/>
            </w:tcBorders>
            <w:gridSpan w:val="3"/>
          </w:tcPr>
          <w:p>
            <w:pPr>
              <w:ind w:left="40"/>
              <w:spacing w:after="0" w:line="298"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3/5/2025</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900" w:type="dxa"/>
            <w:vAlign w:val="bottom"/>
            <w:tcBorders>
              <w:bottom w:val="single" w:sz="8" w:color="auto"/>
            </w:tcBorders>
            <w:gridSpan w:val="2"/>
          </w:tcPr>
          <w:p>
            <w:pPr>
              <w:jc w:val="right"/>
              <w:spacing w:after="0" w:line="298" w:lineRule="exact"/>
              <w:rPr>
                <w:sz w:val="20"/>
                <w:szCs w:val="20"/>
                <w:color w:val="auto"/>
              </w:rPr>
            </w:pPr>
            <w:r>
              <w:rPr>
                <w:rFonts w:ascii="Arial" w:cs="Arial" w:eastAsia="Arial" w:hAnsi="Arial"/>
                <w:sz w:val="14"/>
                <w:szCs w:val="14"/>
                <w:color w:val="auto"/>
              </w:rPr>
              <w:t xml:space="preserve">236,757 </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900" w:type="dxa"/>
            <w:vAlign w:val="bottom"/>
            <w:tcBorders>
              <w:bottom w:val="single" w:sz="8" w:color="auto"/>
            </w:tcBorders>
            <w:gridSpan w:val="2"/>
          </w:tcPr>
          <w:p>
            <w:pPr>
              <w:jc w:val="right"/>
              <w:spacing w:after="0" w:line="298" w:lineRule="exact"/>
              <w:rPr>
                <w:sz w:val="20"/>
                <w:szCs w:val="20"/>
                <w:color w:val="auto"/>
              </w:rPr>
            </w:pPr>
            <w:r>
              <w:rPr>
                <w:rFonts w:ascii="Arial" w:cs="Arial" w:eastAsia="Arial" w:hAnsi="Arial"/>
                <w:sz w:val="14"/>
                <w:szCs w:val="14"/>
                <w:color w:val="auto"/>
              </w:rPr>
              <w:t xml:space="preserve">473,513 </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760" w:type="dxa"/>
            <w:vAlign w:val="bottom"/>
            <w:tcBorders>
              <w:bottom w:val="single" w:sz="8" w:color="auto"/>
            </w:tcBorders>
            <w:gridSpan w:val="2"/>
          </w:tcPr>
          <w:p>
            <w:pPr>
              <w:jc w:val="right"/>
              <w:spacing w:after="0" w:line="298" w:lineRule="exact"/>
              <w:rPr>
                <w:sz w:val="20"/>
                <w:szCs w:val="20"/>
                <w:color w:val="auto"/>
              </w:rPr>
            </w:pPr>
            <w:r>
              <w:rPr>
                <w:rFonts w:ascii="Arial" w:cs="Arial" w:eastAsia="Arial" w:hAnsi="Arial"/>
                <w:sz w:val="14"/>
                <w:szCs w:val="14"/>
                <w:color w:val="auto"/>
              </w:rPr>
              <w:t xml:space="preserve">947,026 </w:t>
            </w:r>
            <w:r>
              <w:rPr>
                <w:rFonts w:ascii="Arial" w:cs="Arial" w:eastAsia="Arial" w:hAnsi="Arial"/>
                <w:sz w:val="28"/>
                <w:szCs w:val="28"/>
                <w:color w:val="auto"/>
                <w:vertAlign w:val="superscript"/>
              </w:rPr>
              <w:t>​​ ​</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235"/>
        </w:trPr>
        <w:tc>
          <w:tcPr>
            <w:tcW w:w="1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Bryan M. Reasons</w:t>
            </w:r>
          </w:p>
        </w:tc>
        <w:tc>
          <w:tcPr>
            <w:tcW w:w="7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5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9"/>
        </w:trPr>
        <w:tc>
          <w:tcPr>
            <w:tcW w:w="120" w:type="dxa"/>
            <w:vAlign w:val="bottom"/>
            <w:tcBorders>
              <w:bottom w:val="single" w:sz="8" w:color="7F7F7F"/>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7F7F7F"/>
            </w:tcBorders>
            <w:shd w:val="clear" w:color="auto" w:fill="E5E5E5"/>
          </w:tcPr>
          <w:p>
            <w:pPr>
              <w:spacing w:after="0"/>
              <w:rPr>
                <w:sz w:val="20"/>
                <w:szCs w:val="20"/>
                <w:color w:val="auto"/>
              </w:rPr>
            </w:pPr>
            <w:r>
              <w:rPr>
                <w:rFonts w:ascii="Arial" w:cs="Arial" w:eastAsia="Arial" w:hAnsi="Arial"/>
                <w:sz w:val="14"/>
                <w:szCs w:val="14"/>
                <w:color w:val="auto"/>
              </w:rPr>
              <w:t>STIP</w:t>
            </w:r>
          </w:p>
        </w:tc>
        <w:tc>
          <w:tcPr>
            <w:tcW w:w="1100" w:type="dxa"/>
            <w:vAlign w:val="bottom"/>
            <w:tcBorders>
              <w:bottom w:val="single" w:sz="8" w:color="7F7F7F"/>
            </w:tcBorders>
            <w:gridSpan w:val="3"/>
            <w:shd w:val="clear" w:color="auto" w:fill="E5E5E5"/>
          </w:tcPr>
          <w:p>
            <w:pPr>
              <w:ind w:left="40"/>
              <w:spacing w:after="0" w:line="298"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3/5/2025</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900" w:type="dxa"/>
            <w:vAlign w:val="bottom"/>
            <w:tcBorders>
              <w:bottom w:val="single" w:sz="8" w:color="7F7F7F"/>
            </w:tcBorders>
            <w:gridSpan w:val="2"/>
            <w:shd w:val="clear" w:color="auto" w:fill="E5E5E5"/>
          </w:tcPr>
          <w:p>
            <w:pPr>
              <w:jc w:val="right"/>
              <w:spacing w:after="0" w:line="298" w:lineRule="exact"/>
              <w:rPr>
                <w:sz w:val="20"/>
                <w:szCs w:val="20"/>
                <w:color w:val="auto"/>
              </w:rPr>
            </w:pPr>
            <w:r>
              <w:rPr>
                <w:rFonts w:ascii="Arial" w:cs="Arial" w:eastAsia="Arial" w:hAnsi="Arial"/>
                <w:sz w:val="14"/>
                <w:szCs w:val="14"/>
                <w:color w:val="auto"/>
              </w:rPr>
              <w:t xml:space="preserve">253,077 </w:t>
            </w:r>
            <w:r>
              <w:rPr>
                <w:rFonts w:ascii="Arial" w:cs="Arial" w:eastAsia="Arial" w:hAnsi="Arial"/>
                <w:sz w:val="28"/>
                <w:szCs w:val="28"/>
                <w:color w:val="auto"/>
                <w:vertAlign w:val="superscript"/>
              </w:rPr>
              <w:t>​​ ​ ​</w:t>
            </w:r>
            <w:r>
              <w:rPr>
                <w:rFonts w:ascii="Arial" w:cs="Arial" w:eastAsia="Arial" w:hAnsi="Arial"/>
                <w:sz w:val="14"/>
                <w:szCs w:val="14"/>
                <w:color w:val="auto"/>
              </w:rPr>
              <w:t>​</w:t>
            </w:r>
          </w:p>
        </w:tc>
        <w:tc>
          <w:tcPr>
            <w:tcW w:w="1660" w:type="dxa"/>
            <w:vAlign w:val="bottom"/>
            <w:tcBorders>
              <w:bottom w:val="single" w:sz="8" w:color="7F7F7F"/>
            </w:tcBorders>
            <w:gridSpan w:val="4"/>
            <w:shd w:val="clear" w:color="auto" w:fill="E5E5E5"/>
          </w:tcPr>
          <w:p>
            <w:pPr>
              <w:jc w:val="right"/>
              <w:spacing w:after="0" w:line="298" w:lineRule="exact"/>
              <w:rPr>
                <w:sz w:val="20"/>
                <w:szCs w:val="20"/>
                <w:color w:val="auto"/>
              </w:rPr>
            </w:pPr>
            <w:r>
              <w:rPr>
                <w:rFonts w:ascii="Arial" w:cs="Arial" w:eastAsia="Arial" w:hAnsi="Arial"/>
                <w:sz w:val="14"/>
                <w:szCs w:val="14"/>
                <w:color w:val="auto"/>
              </w:rPr>
              <w:t xml:space="preserve">506,154 </w:t>
            </w:r>
            <w:r>
              <w:rPr>
                <w:rFonts w:ascii="Arial" w:cs="Arial" w:eastAsia="Arial" w:hAnsi="Arial"/>
                <w:sz w:val="28"/>
                <w:szCs w:val="28"/>
                <w:color w:val="auto"/>
                <w:vertAlign w:val="superscript"/>
              </w:rPr>
              <w:t>​​ ​ ​</w:t>
            </w:r>
            <w:r>
              <w:rPr>
                <w:rFonts w:ascii="Arial" w:cs="Arial" w:eastAsia="Arial" w:hAnsi="Arial"/>
                <w:sz w:val="14"/>
                <w:szCs w:val="14"/>
                <w:color w:val="auto"/>
              </w:rPr>
              <w:t xml:space="preserve">​1,012,308 </w:t>
            </w:r>
            <w:r>
              <w:rPr>
                <w:rFonts w:ascii="Arial" w:cs="Arial" w:eastAsia="Arial" w:hAnsi="Arial"/>
                <w:sz w:val="28"/>
                <w:szCs w:val="28"/>
                <w:color w:val="auto"/>
                <w:vertAlign w:val="superscript"/>
              </w:rPr>
              <w:t>​​ ​</w:t>
            </w:r>
          </w:p>
        </w:tc>
        <w:tc>
          <w:tcPr>
            <w:tcW w:w="740" w:type="dxa"/>
            <w:vAlign w:val="bottom"/>
            <w:tcBorders>
              <w:bottom w:val="single" w:sz="8" w:color="7F7F7F"/>
            </w:tcBorders>
            <w:shd w:val="clear" w:color="auto" w:fill="E5E5E5"/>
          </w:tcPr>
          <w:p>
            <w:pPr>
              <w:ind w:left="3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F7F7F"/>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7F7F7F"/>
            </w:tcBorders>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F7F7F"/>
            </w:tcBorders>
            <w:shd w:val="clear" w:color="auto" w:fill="E5E5E5"/>
          </w:tcPr>
          <w:p>
            <w:pPr>
              <w:ind w:left="4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7F7F7F"/>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7F7F7F"/>
            </w:tcBorders>
            <w:gridSpan w:val="2"/>
            <w:shd w:val="clear" w:color="auto" w:fill="E5E5E5"/>
          </w:tcPr>
          <w:p>
            <w:pPr>
              <w:ind w:left="6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7F7F7F"/>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7F7F7F"/>
            </w:tcBorders>
            <w:shd w:val="clear" w:color="auto" w:fill="E5E5E5"/>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7F7F7F"/>
            </w:tcBorders>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7F7F7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7F7F7F"/>
            </w:tcBorders>
            <w:gridSpan w:val="2"/>
            <w:shd w:val="clear" w:color="auto" w:fill="E5E5E5"/>
          </w:tcPr>
          <w:p>
            <w:pPr>
              <w:jc w:val="right"/>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101"/>
        </w:trPr>
        <w:tc>
          <w:tcPr>
            <w:tcW w:w="120" w:type="dxa"/>
            <w:vAlign w:val="bottom"/>
            <w:shd w:val="clear" w:color="auto" w:fill="E5E5E5"/>
          </w:tcPr>
          <w:p>
            <w:pPr>
              <w:ind w:left="60"/>
              <w:spacing w:after="0" w:line="102" w:lineRule="exact"/>
              <w:rPr>
                <w:sz w:val="20"/>
                <w:szCs w:val="20"/>
                <w:color w:val="auto"/>
              </w:rPr>
            </w:pPr>
            <w:r>
              <w:rPr>
                <w:rFonts w:ascii="Arial" w:cs="Arial" w:eastAsia="Arial" w:hAnsi="Arial"/>
                <w:sz w:val="11"/>
                <w:szCs w:val="11"/>
                <w:color w:val="auto"/>
              </w:rPr>
              <w:t>​</w:t>
            </w:r>
          </w:p>
        </w:tc>
        <w:tc>
          <w:tcPr>
            <w:tcW w:w="136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RSUs</w:t>
            </w:r>
          </w:p>
        </w:tc>
        <w:tc>
          <w:tcPr>
            <w:tcW w:w="740" w:type="dxa"/>
            <w:vAlign w:val="bottom"/>
            <w:shd w:val="clear" w:color="auto" w:fill="E5E5E5"/>
          </w:tcPr>
          <w:p>
            <w:pPr>
              <w:ind w:left="40"/>
              <w:spacing w:after="0" w:line="102" w:lineRule="exact"/>
              <w:rPr>
                <w:sz w:val="20"/>
                <w:szCs w:val="20"/>
                <w:color w:val="auto"/>
              </w:rPr>
            </w:pPr>
            <w:r>
              <w:rPr>
                <w:rFonts w:ascii="Arial" w:cs="Arial" w:eastAsia="Arial" w:hAnsi="Arial"/>
                <w:sz w:val="11"/>
                <w:szCs w:val="11"/>
                <w:color w:val="auto"/>
              </w:rPr>
              <w:t>​ ​ ​</w:t>
            </w:r>
          </w:p>
        </w:tc>
        <w:tc>
          <w:tcPr>
            <w:tcW w:w="360" w:type="dxa"/>
            <w:vAlign w:val="bottom"/>
            <w:gridSpan w:val="2"/>
            <w:shd w:val="clear" w:color="auto" w:fill="E5E5E5"/>
          </w:tcPr>
          <w:p>
            <w:pPr>
              <w:ind w:left="80"/>
              <w:spacing w:after="0" w:line="102"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(7)</w:t>
            </w:r>
            <w:r>
              <w:rPr>
                <w:rFonts w:ascii="Arial" w:cs="Arial" w:eastAsia="Arial" w:hAnsi="Arial"/>
                <w:sz w:val="11"/>
                <w:szCs w:val="11"/>
                <w:color w:val="auto"/>
              </w:rPr>
              <w:t xml:space="preserve"> ​ </w:t>
            </w:r>
            <w:r>
              <w:rPr>
                <w:rFonts w:ascii="Arial" w:cs="Arial" w:eastAsia="Arial" w:hAnsi="Arial"/>
                <w:sz w:val="11"/>
                <w:szCs w:val="11"/>
                <w:b w:val="1"/>
                <w:bCs w:val="1"/>
                <w:color w:val="auto"/>
              </w:rPr>
              <w:t>​</w:t>
            </w:r>
          </w:p>
        </w:tc>
        <w:tc>
          <w:tcPr>
            <w:tcW w:w="400" w:type="dxa"/>
            <w:vAlign w:val="bottom"/>
            <w:shd w:val="clear" w:color="auto" w:fill="E5E5E5"/>
          </w:tcPr>
          <w:p>
            <w:pPr>
              <w:spacing w:after="0"/>
              <w:rPr>
                <w:sz w:val="8"/>
                <w:szCs w:val="8"/>
                <w:color w:val="auto"/>
              </w:rPr>
            </w:pPr>
          </w:p>
        </w:tc>
        <w:tc>
          <w:tcPr>
            <w:tcW w:w="500" w:type="dxa"/>
            <w:vAlign w:val="bottom"/>
            <w:shd w:val="clear" w:color="auto" w:fill="E5E5E5"/>
          </w:tcPr>
          <w:p>
            <w:pPr>
              <w:jc w:val="right"/>
              <w:spacing w:after="0" w:line="102" w:lineRule="exact"/>
              <w:rPr>
                <w:sz w:val="20"/>
                <w:szCs w:val="20"/>
                <w:color w:val="auto"/>
              </w:rPr>
            </w:pPr>
            <w:r>
              <w:rPr>
                <w:rFonts w:ascii="Arial" w:cs="Arial" w:eastAsia="Arial" w:hAnsi="Arial"/>
                <w:sz w:val="11"/>
                <w:szCs w:val="11"/>
                <w:color w:val="auto"/>
              </w:rPr>
              <w:t xml:space="preserve">​ ​​ ​ </w:t>
            </w:r>
            <w:r>
              <w:rPr>
                <w:rFonts w:ascii="Arial" w:cs="Arial" w:eastAsia="Arial" w:hAnsi="Arial"/>
                <w:sz w:val="11"/>
                <w:szCs w:val="11"/>
                <w:b w:val="1"/>
                <w:bCs w:val="1"/>
                <w:color w:val="auto"/>
              </w:rPr>
              <w:t>​</w:t>
            </w:r>
          </w:p>
        </w:tc>
        <w:tc>
          <w:tcPr>
            <w:tcW w:w="520" w:type="dxa"/>
            <w:vAlign w:val="bottom"/>
            <w:shd w:val="clear" w:color="auto" w:fill="E5E5E5"/>
          </w:tcPr>
          <w:p>
            <w:pPr>
              <w:spacing w:after="0"/>
              <w:rPr>
                <w:sz w:val="8"/>
                <w:szCs w:val="8"/>
                <w:color w:val="auto"/>
              </w:rPr>
            </w:pPr>
          </w:p>
        </w:tc>
        <w:tc>
          <w:tcPr>
            <w:tcW w:w="380" w:type="dxa"/>
            <w:vAlign w:val="bottom"/>
            <w:shd w:val="clear" w:color="auto" w:fill="E5E5E5"/>
          </w:tcPr>
          <w:p>
            <w:pPr>
              <w:jc w:val="center"/>
              <w:spacing w:after="0" w:line="102" w:lineRule="exact"/>
              <w:rPr>
                <w:sz w:val="20"/>
                <w:szCs w:val="20"/>
                <w:color w:val="auto"/>
              </w:rPr>
            </w:pPr>
            <w:r>
              <w:rPr>
                <w:rFonts w:ascii="Arial" w:cs="Arial" w:eastAsia="Arial" w:hAnsi="Arial"/>
                <w:sz w:val="11"/>
                <w:szCs w:val="11"/>
                <w:color w:val="auto"/>
              </w:rPr>
              <w:t xml:space="preserve">​​​ ​ </w:t>
            </w:r>
            <w:r>
              <w:rPr>
                <w:rFonts w:ascii="Arial" w:cs="Arial" w:eastAsia="Arial" w:hAnsi="Arial"/>
                <w:sz w:val="11"/>
                <w:szCs w:val="11"/>
                <w:b w:val="1"/>
                <w:bCs w:val="1"/>
                <w:color w:val="auto"/>
              </w:rPr>
              <w:t>​</w:t>
            </w:r>
          </w:p>
        </w:tc>
        <w:tc>
          <w:tcPr>
            <w:tcW w:w="560" w:type="dxa"/>
            <w:vAlign w:val="bottom"/>
            <w:shd w:val="clear" w:color="auto" w:fill="E5E5E5"/>
          </w:tcPr>
          <w:p>
            <w:pPr>
              <w:spacing w:after="0"/>
              <w:rPr>
                <w:sz w:val="8"/>
                <w:szCs w:val="8"/>
                <w:color w:val="auto"/>
              </w:rPr>
            </w:pPr>
          </w:p>
        </w:tc>
        <w:tc>
          <w:tcPr>
            <w:tcW w:w="200" w:type="dxa"/>
            <w:vAlign w:val="bottom"/>
            <w:shd w:val="clear" w:color="auto" w:fill="E5E5E5"/>
          </w:tcPr>
          <w:p>
            <w:pPr>
              <w:jc w:val="right"/>
              <w:spacing w:after="0" w:line="102" w:lineRule="exact"/>
              <w:rPr>
                <w:sz w:val="20"/>
                <w:szCs w:val="20"/>
                <w:color w:val="auto"/>
              </w:rPr>
            </w:pPr>
            <w:r>
              <w:rPr>
                <w:rFonts w:ascii="Arial" w:cs="Arial" w:eastAsia="Arial" w:hAnsi="Arial"/>
                <w:sz w:val="11"/>
                <w:szCs w:val="11"/>
                <w:color w:val="auto"/>
              </w:rPr>
              <w:t>​​​ ​</w:t>
            </w:r>
          </w:p>
        </w:tc>
        <w:tc>
          <w:tcPr>
            <w:tcW w:w="740" w:type="dxa"/>
            <w:vAlign w:val="bottom"/>
            <w:shd w:val="clear" w:color="auto" w:fill="E5E5E5"/>
          </w:tcPr>
          <w:p>
            <w:pPr>
              <w:ind w:left="380"/>
              <w:spacing w:after="0" w:line="102" w:lineRule="exact"/>
              <w:rPr>
                <w:sz w:val="20"/>
                <w:szCs w:val="20"/>
                <w:color w:val="auto"/>
              </w:rPr>
            </w:pPr>
            <w:r>
              <w:rPr>
                <w:rFonts w:ascii="Arial" w:cs="Arial" w:eastAsia="Arial" w:hAnsi="Arial"/>
                <w:sz w:val="11"/>
                <w:szCs w:val="11"/>
                <w:color w:val="auto"/>
              </w:rPr>
              <w:t>​</w:t>
            </w:r>
          </w:p>
        </w:tc>
        <w:tc>
          <w:tcPr>
            <w:tcW w:w="160" w:type="dxa"/>
            <w:vAlign w:val="bottom"/>
            <w:shd w:val="clear" w:color="auto" w:fill="E5E5E5"/>
          </w:tcPr>
          <w:p>
            <w:pPr>
              <w:ind w:left="40"/>
              <w:spacing w:after="0" w:line="102" w:lineRule="exact"/>
              <w:rPr>
                <w:sz w:val="20"/>
                <w:szCs w:val="20"/>
                <w:color w:val="auto"/>
              </w:rPr>
            </w:pPr>
            <w:r>
              <w:rPr>
                <w:rFonts w:ascii="Arial" w:cs="Arial" w:eastAsia="Arial" w:hAnsi="Arial"/>
                <w:sz w:val="11"/>
                <w:szCs w:val="11"/>
                <w:color w:val="auto"/>
              </w:rPr>
              <w:t>​ ​</w:t>
            </w:r>
          </w:p>
        </w:tc>
        <w:tc>
          <w:tcPr>
            <w:tcW w:w="480" w:type="dxa"/>
            <w:vAlign w:val="bottom"/>
            <w:shd w:val="clear" w:color="auto" w:fill="E5E5E5"/>
          </w:tcPr>
          <w:p>
            <w:pPr>
              <w:ind w:left="240"/>
              <w:spacing w:after="0" w:line="102" w:lineRule="exact"/>
              <w:rPr>
                <w:sz w:val="20"/>
                <w:szCs w:val="20"/>
                <w:color w:val="auto"/>
              </w:rPr>
            </w:pPr>
            <w:r>
              <w:rPr>
                <w:rFonts w:ascii="Arial" w:cs="Arial" w:eastAsia="Arial" w:hAnsi="Arial"/>
                <w:sz w:val="11"/>
                <w:szCs w:val="11"/>
                <w:color w:val="auto"/>
              </w:rPr>
              <w:t>​</w:t>
            </w:r>
          </w:p>
        </w:tc>
        <w:tc>
          <w:tcPr>
            <w:tcW w:w="160" w:type="dxa"/>
            <w:vAlign w:val="bottom"/>
            <w:shd w:val="clear" w:color="auto" w:fill="E5E5E5"/>
          </w:tcPr>
          <w:p>
            <w:pPr>
              <w:ind w:left="40"/>
              <w:spacing w:after="0" w:line="102" w:lineRule="exact"/>
              <w:rPr>
                <w:sz w:val="20"/>
                <w:szCs w:val="20"/>
                <w:color w:val="auto"/>
              </w:rPr>
            </w:pPr>
            <w:r>
              <w:rPr>
                <w:rFonts w:ascii="Arial" w:cs="Arial" w:eastAsia="Arial" w:hAnsi="Arial"/>
                <w:sz w:val="11"/>
                <w:szCs w:val="11"/>
                <w:color w:val="auto"/>
              </w:rPr>
              <w:t>​ ​</w:t>
            </w:r>
          </w:p>
        </w:tc>
        <w:tc>
          <w:tcPr>
            <w:tcW w:w="720" w:type="dxa"/>
            <w:vAlign w:val="bottom"/>
            <w:shd w:val="clear" w:color="auto" w:fill="E5E5E5"/>
          </w:tcPr>
          <w:p>
            <w:pPr>
              <w:ind w:left="360"/>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E5E5E5"/>
          </w:tcPr>
          <w:p>
            <w:pPr>
              <w:ind w:left="60"/>
              <w:spacing w:after="0" w:line="102" w:lineRule="exact"/>
              <w:rPr>
                <w:sz w:val="20"/>
                <w:szCs w:val="20"/>
                <w:color w:val="auto"/>
              </w:rPr>
            </w:pPr>
            <w:r>
              <w:rPr>
                <w:rFonts w:ascii="Arial" w:cs="Arial" w:eastAsia="Arial" w:hAnsi="Arial"/>
                <w:sz w:val="11"/>
                <w:szCs w:val="11"/>
                <w:color w:val="auto"/>
              </w:rPr>
              <w:t>​ ​</w:t>
            </w:r>
          </w:p>
        </w:tc>
        <w:tc>
          <w:tcPr>
            <w:tcW w:w="640" w:type="dxa"/>
            <w:vAlign w:val="bottom"/>
            <w:shd w:val="clear" w:color="auto" w:fill="E5E5E5"/>
          </w:tcPr>
          <w:p>
            <w:pPr>
              <w:ind w:left="100"/>
              <w:spacing w:after="0" w:line="102"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E5E5E5"/>
          </w:tcPr>
          <w:p>
            <w:pPr>
              <w:jc w:val="right"/>
              <w:spacing w:after="0" w:line="102" w:lineRule="exact"/>
              <w:rPr>
                <w:sz w:val="20"/>
                <w:szCs w:val="20"/>
                <w:color w:val="auto"/>
              </w:rPr>
            </w:pPr>
            <w:r>
              <w:rPr>
                <w:rFonts w:ascii="Arial" w:cs="Arial" w:eastAsia="Arial" w:hAnsi="Arial"/>
                <w:sz w:val="9"/>
                <w:szCs w:val="9"/>
                <w:color w:val="auto"/>
              </w:rPr>
              <w:t>(7)</w:t>
            </w:r>
            <w:r>
              <w:rPr>
                <w:rFonts w:ascii="Arial" w:cs="Arial" w:eastAsia="Arial" w:hAnsi="Arial"/>
                <w:sz w:val="10"/>
                <w:szCs w:val="10"/>
                <w:color w:val="auto"/>
              </w:rPr>
              <w:t>​ ​ ​</w:t>
            </w:r>
          </w:p>
        </w:tc>
        <w:tc>
          <w:tcPr>
            <w:tcW w:w="720" w:type="dxa"/>
            <w:vAlign w:val="bottom"/>
            <w:shd w:val="clear" w:color="auto" w:fill="E5E5E5"/>
          </w:tcPr>
          <w:p>
            <w:pPr>
              <w:ind w:left="60"/>
              <w:spacing w:after="0" w:line="102" w:lineRule="exact"/>
              <w:rPr>
                <w:sz w:val="20"/>
                <w:szCs w:val="20"/>
                <w:color w:val="auto"/>
              </w:rPr>
            </w:pPr>
            <w:r>
              <w:rPr>
                <w:rFonts w:ascii="Arial" w:cs="Arial" w:eastAsia="Arial" w:hAnsi="Arial"/>
                <w:sz w:val="11"/>
                <w:szCs w:val="11"/>
                <w:color w:val="auto"/>
              </w:rPr>
              <w:t>​</w:t>
            </w:r>
          </w:p>
        </w:tc>
        <w:tc>
          <w:tcPr>
            <w:tcW w:w="60" w:type="dxa"/>
            <w:vAlign w:val="bottom"/>
            <w:shd w:val="clear" w:color="auto" w:fill="E5E5E5"/>
          </w:tcPr>
          <w:p>
            <w:pPr>
              <w:spacing w:after="0"/>
              <w:rPr>
                <w:sz w:val="8"/>
                <w:szCs w:val="8"/>
                <w:color w:val="auto"/>
              </w:rPr>
            </w:pPr>
          </w:p>
        </w:tc>
        <w:tc>
          <w:tcPr>
            <w:tcW w:w="120" w:type="dxa"/>
            <w:vAlign w:val="bottom"/>
            <w:shd w:val="clear" w:color="auto" w:fill="E5E5E5"/>
          </w:tcPr>
          <w:p>
            <w:pPr>
              <w:spacing w:after="0" w:line="102" w:lineRule="exact"/>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89"/>
        </w:trPr>
        <w:tc>
          <w:tcPr>
            <w:tcW w:w="120" w:type="dxa"/>
            <w:vAlign w:val="bottom"/>
            <w:tcBorders>
              <w:bottom w:val="single" w:sz="8" w:color="auto"/>
            </w:tcBorders>
            <w:shd w:val="clear" w:color="auto" w:fill="E5E5E5"/>
          </w:tcPr>
          <w:p>
            <w:pPr>
              <w:spacing w:after="0"/>
              <w:rPr>
                <w:sz w:val="16"/>
                <w:szCs w:val="16"/>
                <w:color w:val="auto"/>
              </w:rPr>
            </w:pPr>
          </w:p>
        </w:tc>
        <w:tc>
          <w:tcPr>
            <w:tcW w:w="1360" w:type="dxa"/>
            <w:vAlign w:val="bottom"/>
            <w:tcBorders>
              <w:bottom w:val="single" w:sz="8" w:color="auto"/>
            </w:tcBorders>
            <w:vMerge w:val="continue"/>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gridSpan w:val="2"/>
            <w:shd w:val="clear" w:color="auto" w:fill="E5E5E5"/>
          </w:tcPr>
          <w:p>
            <w:pPr>
              <w:ind w:left="8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E5E5E5"/>
          </w:tcPr>
          <w:p>
            <w:pPr>
              <w:spacing w:after="0"/>
              <w:rPr>
                <w:sz w:val="16"/>
                <w:szCs w:val="16"/>
                <w:color w:val="auto"/>
              </w:rPr>
            </w:pPr>
          </w:p>
        </w:tc>
        <w:tc>
          <w:tcPr>
            <w:tcW w:w="500" w:type="dxa"/>
            <w:vAlign w:val="bottom"/>
            <w:tcBorders>
              <w:bottom w:val="single" w:sz="8" w:color="auto"/>
            </w:tcBorders>
            <w:shd w:val="clear" w:color="auto" w:fill="E5E5E5"/>
          </w:tcPr>
          <w:p>
            <w:pPr>
              <w:spacing w:after="0"/>
              <w:rPr>
                <w:sz w:val="16"/>
                <w:szCs w:val="16"/>
                <w:color w:val="auto"/>
              </w:rPr>
            </w:pPr>
          </w:p>
        </w:tc>
        <w:tc>
          <w:tcPr>
            <w:tcW w:w="520" w:type="dxa"/>
            <w:vAlign w:val="bottom"/>
            <w:tcBorders>
              <w:bottom w:val="single" w:sz="8" w:color="auto"/>
            </w:tcBorders>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spacing w:after="0"/>
              <w:rPr>
                <w:sz w:val="16"/>
                <w:szCs w:val="16"/>
                <w:color w:val="auto"/>
              </w:rPr>
            </w:pPr>
          </w:p>
        </w:tc>
        <w:tc>
          <w:tcPr>
            <w:tcW w:w="16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16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80" w:type="dxa"/>
            <w:vAlign w:val="bottom"/>
            <w:tcBorders>
              <w:bottom w:val="single" w:sz="8" w:color="auto"/>
            </w:tcBorders>
            <w:shd w:val="clear" w:color="auto" w:fill="E5E5E5"/>
          </w:tcPr>
          <w:p>
            <w:pPr>
              <w:spacing w:after="0"/>
              <w:rPr>
                <w:sz w:val="16"/>
                <w:szCs w:val="16"/>
                <w:color w:val="auto"/>
              </w:rPr>
            </w:pPr>
          </w:p>
        </w:tc>
        <w:tc>
          <w:tcPr>
            <w:tcW w:w="100" w:type="dxa"/>
            <w:vAlign w:val="bottom"/>
            <w:tcBorders>
              <w:bottom w:val="single" w:sz="8" w:color="auto"/>
            </w:tcBorders>
            <w:shd w:val="clear" w:color="auto" w:fill="E5E5E5"/>
          </w:tcPr>
          <w:p>
            <w:pPr>
              <w:spacing w:after="0"/>
              <w:rPr>
                <w:sz w:val="16"/>
                <w:szCs w:val="16"/>
                <w:color w:val="auto"/>
              </w:rPr>
            </w:pPr>
          </w:p>
        </w:tc>
        <w:tc>
          <w:tcPr>
            <w:tcW w:w="6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E5E5E5"/>
          </w:tcPr>
          <w:p>
            <w:pPr>
              <w:spacing w:after="0"/>
              <w:rPr>
                <w:sz w:val="16"/>
                <w:szCs w:val="16"/>
                <w:color w:val="auto"/>
              </w:rPr>
            </w:pPr>
          </w:p>
        </w:tc>
        <w:tc>
          <w:tcPr>
            <w:tcW w:w="780" w:type="dxa"/>
            <w:vAlign w:val="bottom"/>
            <w:tcBorders>
              <w:bottom w:val="single" w:sz="8" w:color="auto"/>
            </w:tcBorders>
            <w:gridSpan w:val="2"/>
            <w:shd w:val="clear" w:color="auto" w:fill="E5E5E5"/>
          </w:tcPr>
          <w:p>
            <w:pPr>
              <w:ind w:left="80"/>
              <w:spacing w:after="0" w:line="189" w:lineRule="exact"/>
              <w:rPr>
                <w:sz w:val="20"/>
                <w:szCs w:val="20"/>
                <w:color w:val="auto"/>
              </w:rPr>
            </w:pPr>
            <w:r>
              <w:rPr>
                <w:rFonts w:ascii="Arial" w:cs="Arial" w:eastAsia="Arial" w:hAnsi="Arial"/>
                <w:sz w:val="14"/>
                <w:szCs w:val="14"/>
                <w:color w:val="auto"/>
              </w:rPr>
              <w:t>​213,718</w:t>
            </w:r>
            <w:r>
              <w:rPr>
                <w:rFonts w:ascii="Arial" w:cs="Arial" w:eastAsia="Arial" w:hAnsi="Arial"/>
                <w:sz w:val="17"/>
                <w:szCs w:val="17"/>
                <w:color w:val="auto"/>
                <w:vertAlign w:val="superscript"/>
              </w:rPr>
              <w:t>(7)</w:t>
            </w:r>
          </w:p>
        </w:tc>
        <w:tc>
          <w:tcPr>
            <w:tcW w:w="120" w:type="dxa"/>
            <w:vAlign w:val="bottom"/>
            <w:tcBorders>
              <w:bottom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040" w:right="440" w:hanging="368"/>
        <w:spacing w:after="0" w:line="270" w:lineRule="auto"/>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amounts reported reflect threshold, target, and maximum award amounts for fiscal 2025 that were set in fiscal 2025 under the STIP. The actual amounts earned by each NEO pursuant to such awards are reported under the Non-Equity Incentive Plan Compensation column of the Summary Compensation Table.</w:t>
      </w:r>
    </w:p>
    <w:p>
      <w:pPr>
        <w:spacing w:after="0" w:line="48" w:lineRule="exact"/>
        <w:rPr>
          <w:rFonts w:ascii="Arial" w:cs="Arial" w:eastAsia="Arial" w:hAnsi="Arial"/>
          <w:sz w:val="13"/>
          <w:szCs w:val="13"/>
          <w:color w:val="auto"/>
        </w:rPr>
      </w:pPr>
    </w:p>
    <w:p>
      <w:pPr>
        <w:ind w:left="1040" w:right="80" w:hanging="368"/>
        <w:spacing w:after="0" w:line="302" w:lineRule="auto"/>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Grants of RSUs scheduled to vest (i) in full on January 1, 2027 for Mr. Olafsson and (ii) in substantially equal installments on each of December 15, 2025, December 15, 2026, and December 15, 2027 for Ms. Stamoulis.</w:t>
      </w:r>
    </w:p>
    <w:p>
      <w:pPr>
        <w:spacing w:after="0" w:line="28" w:lineRule="exact"/>
        <w:rPr>
          <w:rFonts w:ascii="Arial" w:cs="Arial" w:eastAsia="Arial" w:hAnsi="Arial"/>
          <w:sz w:val="13"/>
          <w:szCs w:val="13"/>
          <w:color w:val="auto"/>
        </w:rPr>
      </w:pPr>
    </w:p>
    <w:p>
      <w:pPr>
        <w:ind w:left="1040" w:hanging="368"/>
        <w:spacing w:after="0"/>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computed in accordance with ASC 718, of RSUs issued during fiscal 2025.</w:t>
      </w:r>
    </w:p>
    <w:p>
      <w:pPr>
        <w:spacing w:after="0" w:line="93" w:lineRule="exact"/>
        <w:rPr>
          <w:rFonts w:ascii="Arial" w:cs="Arial" w:eastAsia="Arial" w:hAnsi="Arial"/>
          <w:sz w:val="13"/>
          <w:szCs w:val="13"/>
          <w:color w:val="auto"/>
        </w:rPr>
      </w:pPr>
    </w:p>
    <w:p>
      <w:pPr>
        <w:ind w:left="1040" w:right="80" w:hanging="368"/>
        <w:spacing w:after="0" w:line="250" w:lineRule="auto"/>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amounts reported for Mr. Olafsson in the table above represent amounts in effect for Mr. Olafsson following his entrance into the 2025 CEO Agreement (target of 200% of base salary, maximum of 400% of base salary, and threshold of 50% of target). However, under the terms of the 2025 CEO Agreement, Mr. Olafsson’s 2025 target and maximum STIP amounts are determined separately on a prorated basis for the pre- and post-merger portions of fiscal 2025 based on (i) with respect to the pre-merger portion of fiscal 2025, the terms in effect immediately prior to effectiveness of the 2025 CEO Agreement (target of 135% of prorated base salary (equal to $936,493), and maximum of 250% of prorated base salary (equal to $1,734,247)) and</w:t>
      </w:r>
    </w:p>
    <w:p>
      <w:pPr>
        <w:spacing w:after="0" w:line="2" w:lineRule="exact"/>
        <w:rPr>
          <w:rFonts w:ascii="Arial" w:cs="Arial" w:eastAsia="Arial" w:hAnsi="Arial"/>
          <w:sz w:val="13"/>
          <w:szCs w:val="13"/>
          <w:color w:val="auto"/>
        </w:rPr>
      </w:pPr>
    </w:p>
    <w:p>
      <w:pPr>
        <w:ind w:left="1040" w:right="300"/>
        <w:spacing w:after="0" w:line="249" w:lineRule="auto"/>
        <w:rPr>
          <w:rFonts w:ascii="Arial" w:cs="Arial" w:eastAsia="Arial" w:hAnsi="Arial"/>
          <w:sz w:val="13"/>
          <w:szCs w:val="13"/>
          <w:color w:val="auto"/>
        </w:rPr>
      </w:pPr>
      <w:r>
        <w:rPr>
          <w:rFonts w:ascii="Arial" w:cs="Arial" w:eastAsia="Arial" w:hAnsi="Arial"/>
          <w:sz w:val="13"/>
          <w:szCs w:val="13"/>
          <w:color w:val="auto"/>
        </w:rPr>
        <w:t>(ii) with respect to the post-merger portion of fiscal 2025, the terms in effect following effectiveness of the 2025 CEO Agreement (target of 200% of prorated base salary (equal to $1,012,603), and maximum of 400% of prorated base salary (equal to $2,025,205)). Pursuant to the terms of the 2025 CEO Agreement, the Board determined to apply the post-merger cap to both the pre-merger and the post-merger periods. Further information on the 2025 CEO Agreement is provided in the section entitled “— Narrative Disclosure to Summary Compensation Table and Grants of Plan-Based Awards Table — Employment Agreements — Mr. Olafsson.”</w:t>
      </w:r>
    </w:p>
    <w:p>
      <w:pPr>
        <w:spacing w:after="0" w:line="62" w:lineRule="exact"/>
        <w:rPr>
          <w:rFonts w:ascii="Arial" w:cs="Arial" w:eastAsia="Arial" w:hAnsi="Arial"/>
          <w:sz w:val="13"/>
          <w:szCs w:val="13"/>
          <w:color w:val="auto"/>
        </w:rPr>
      </w:pPr>
    </w:p>
    <w:p>
      <w:pPr>
        <w:ind w:left="1040" w:right="160" w:hanging="368"/>
        <w:spacing w:after="0" w:line="302" w:lineRule="auto"/>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Pursuant to the CFO Agreement, Ms. Stamoulis was guaranteed a cash incentive bonus amount of $700,000, which amount was to be to treated as her “target bonus” for purposes of the 2025 STIP.</w:t>
      </w:r>
    </w:p>
    <w:p>
      <w:pPr>
        <w:spacing w:after="0" w:line="28" w:lineRule="exact"/>
        <w:rPr>
          <w:rFonts w:ascii="Arial" w:cs="Arial" w:eastAsia="Arial" w:hAnsi="Arial"/>
          <w:sz w:val="13"/>
          <w:szCs w:val="13"/>
          <w:color w:val="auto"/>
        </w:rPr>
      </w:pPr>
    </w:p>
    <w:p>
      <w:pPr>
        <w:ind w:left="1040" w:right="80" w:hanging="368"/>
        <w:spacing w:after="0" w:line="281" w:lineRule="auto"/>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Quantities reflect additional RSUs resulting from the adjustment of the RSUs that were held by the NEOs immediately prior to the Separation, pursuant to the terms of the Employee Matters Agreement.</w:t>
      </w:r>
    </w:p>
    <w:p>
      <w:pPr>
        <w:spacing w:after="0" w:line="41" w:lineRule="exact"/>
        <w:rPr>
          <w:rFonts w:ascii="Arial" w:cs="Arial" w:eastAsia="Arial" w:hAnsi="Arial"/>
          <w:sz w:val="13"/>
          <w:szCs w:val="13"/>
          <w:color w:val="auto"/>
        </w:rPr>
      </w:pPr>
    </w:p>
    <w:p>
      <w:pPr>
        <w:ind w:left="1040" w:right="80" w:hanging="368"/>
        <w:spacing w:after="0" w:line="302" w:lineRule="auto"/>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 reported represents the incremental fair value of an accounting modification made in 2025 to the 2024 Reasons RSUs in connection with Mr. Reasons’s departure, as further described in footnote 2 to the Summary Compensation Table above.</w:t>
      </w:r>
    </w:p>
    <w:p>
      <w:pPr>
        <w:spacing w:after="0" w:line="129"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35</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02" w:lineRule="exact"/>
        <w:rPr>
          <w:sz w:val="20"/>
          <w:szCs w:val="20"/>
          <w:color w:val="auto"/>
        </w:rPr>
      </w:pPr>
    </w:p>
    <w:p>
      <w:pPr>
        <w:ind w:left="680" w:right="360"/>
        <w:spacing w:after="0" w:line="272" w:lineRule="auto"/>
        <w:rPr>
          <w:sz w:val="20"/>
          <w:szCs w:val="20"/>
          <w:color w:val="auto"/>
        </w:rPr>
      </w:pPr>
      <w:r>
        <w:rPr>
          <w:rFonts w:ascii="Arial" w:cs="Arial" w:eastAsia="Arial" w:hAnsi="Arial"/>
          <w:sz w:val="22"/>
          <w:szCs w:val="22"/>
          <w:b w:val="1"/>
          <w:bCs w:val="1"/>
          <w:color w:val="auto"/>
        </w:rPr>
        <w:t>Narrative Disclosure to Summary Compensation Table and Grants of Plan-Based Awards Table</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Employment Agreements</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Mr. Olafsson</w:t>
      </w:r>
    </w:p>
    <w:p>
      <w:pPr>
        <w:spacing w:after="0" w:line="120" w:lineRule="exact"/>
        <w:rPr>
          <w:sz w:val="20"/>
          <w:szCs w:val="20"/>
          <w:color w:val="auto"/>
        </w:rPr>
      </w:pPr>
    </w:p>
    <w:p>
      <w:pPr>
        <w:ind w:left="680" w:right="80"/>
        <w:spacing w:after="0" w:line="264" w:lineRule="auto"/>
        <w:rPr>
          <w:sz w:val="20"/>
          <w:szCs w:val="20"/>
          <w:color w:val="auto"/>
        </w:rPr>
      </w:pPr>
      <w:r>
        <w:rPr>
          <w:rFonts w:ascii="Arial" w:cs="Arial" w:eastAsia="Arial" w:hAnsi="Arial"/>
          <w:sz w:val="16"/>
          <w:szCs w:val="16"/>
          <w:color w:val="auto"/>
        </w:rPr>
        <w:t>On February 2, 2024, we entered into the 2024 CEO Agreement, which superseded the 2022 CEO Agreement. Pursuant to the 2024 CEO Agreement, Mr. Olafsson received an annual base salary of $1,100,000, and was also eligible to receive a performance-based annual bonus with a target amount of 135% of base salary and a maximum amount of 250% of base salary. The 2024 CEO Agreement provided that Mr. Olafsson be granted a one-time award as described above under the section entitled “Compensation Discussion and Analysis — Fiscal 2025 Executive Compensation — Long-Term Incentive Compensation — 2024 Awards.” The 2024 CEO Agreement also provided that Mr. Olafsson would be a participant in the Transaction Incentive Plan, as described above under the section entitled “Compensation Discussion and Analysis — Fiscal 2025 Executive Compensation — Transaction Incentive Plan.”</w:t>
      </w:r>
    </w:p>
    <w:p>
      <w:pPr>
        <w:spacing w:after="0" w:line="149" w:lineRule="exact"/>
        <w:rPr>
          <w:sz w:val="20"/>
          <w:szCs w:val="20"/>
          <w:color w:val="auto"/>
        </w:rPr>
      </w:pPr>
    </w:p>
    <w:p>
      <w:pPr>
        <w:ind w:left="680" w:right="60"/>
        <w:spacing w:after="0" w:line="271" w:lineRule="auto"/>
        <w:rPr>
          <w:sz w:val="20"/>
          <w:szCs w:val="20"/>
          <w:color w:val="auto"/>
        </w:rPr>
      </w:pPr>
      <w:r>
        <w:rPr>
          <w:rFonts w:ascii="Arial" w:cs="Arial" w:eastAsia="Arial" w:hAnsi="Arial"/>
          <w:sz w:val="16"/>
          <w:szCs w:val="16"/>
          <w:color w:val="auto"/>
        </w:rPr>
        <w:t>On July 7, 2025, Mr. Olafsson entered into the 2025 CEO Agreement, which superseded the 2024 CEO Agreement. The 2025 CEO Agreement became effective upon completion of the Business Combination on July 31, 2025, for a term ending on January 1, 2027. Pursuant to the 2025 CEO Agreement, the parties agreed to discuss in good faith entering into a longer-term employment agreement in the first half of 2026.</w:t>
      </w:r>
    </w:p>
    <w:p>
      <w:pPr>
        <w:spacing w:after="0" w:line="141" w:lineRule="exact"/>
        <w:rPr>
          <w:sz w:val="20"/>
          <w:szCs w:val="20"/>
          <w:color w:val="auto"/>
        </w:rPr>
      </w:pPr>
    </w:p>
    <w:p>
      <w:pPr>
        <w:ind w:left="680" w:right="380"/>
        <w:spacing w:after="0" w:line="271" w:lineRule="auto"/>
        <w:rPr>
          <w:sz w:val="20"/>
          <w:szCs w:val="20"/>
          <w:color w:val="auto"/>
        </w:rPr>
      </w:pPr>
      <w:r>
        <w:rPr>
          <w:rFonts w:ascii="Arial" w:cs="Arial" w:eastAsia="Arial" w:hAnsi="Arial"/>
          <w:sz w:val="16"/>
          <w:szCs w:val="16"/>
          <w:color w:val="auto"/>
        </w:rPr>
        <w:t>The 2025 CEO Agreement provided that the Company would (i) pay Mr. Olafsson the CEO Cash Inducement Award on or within 30 days following January 1, 2027, subject to his continued service through such date and (ii) as soon as reasonably practicable following the effective date of the Business Combination, grant Mr. Olafsson the CEO Equity Inducement Award, subject to his continued service through such date.</w:t>
      </w:r>
    </w:p>
    <w:p>
      <w:pPr>
        <w:spacing w:after="0" w:line="141" w:lineRule="exact"/>
        <w:rPr>
          <w:sz w:val="20"/>
          <w:szCs w:val="20"/>
          <w:color w:val="auto"/>
        </w:rPr>
      </w:pPr>
    </w:p>
    <w:p>
      <w:pPr>
        <w:ind w:left="680" w:right="60"/>
        <w:spacing w:after="0" w:line="265" w:lineRule="auto"/>
        <w:rPr>
          <w:sz w:val="20"/>
          <w:szCs w:val="20"/>
          <w:color w:val="auto"/>
        </w:rPr>
      </w:pPr>
      <w:r>
        <w:rPr>
          <w:rFonts w:ascii="Arial" w:cs="Arial" w:eastAsia="Arial" w:hAnsi="Arial"/>
          <w:sz w:val="16"/>
          <w:szCs w:val="16"/>
          <w:color w:val="auto"/>
        </w:rPr>
        <w:t>On February 23, 2026, Mr. Olafsson entered into 2026 CEO Agreement. Pursuant to the 2026 CEO Agreement, Mr. Olafsson will remain in his role as CEO until the Expiration Date, and will be appointed as Chair of the Board not later than May 14, 2026, provided that if a successor CEO is appointed prior to the Expiration Date, Mr. Olafsson’s role will transition to Executive Chair. If the Company and Mr. Olafsson do not mutually agree to extend the term of Mr. Olafsson’s employment prior to the Expiration Date, Mr. Olafsson’s service as CEO, Chair and/or Executive Chair, as applicable, shall automatically terminate on the Expiration Date, which termination shall constitute a termination by the Executive with Good Reason (as defined in the 2026 CEO Agreement).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Pursuant to both the 2025 CEO Agreement and the 2026 CEO Agreement, Mr. Olafsson receives an annual base salary of</w:t>
      </w:r>
    </w:p>
    <w:p>
      <w:pPr>
        <w:spacing w:after="0" w:line="31" w:lineRule="exact"/>
        <w:rPr>
          <w:sz w:val="20"/>
          <w:szCs w:val="20"/>
          <w:color w:val="auto"/>
        </w:rPr>
      </w:pPr>
    </w:p>
    <w:p>
      <w:pPr>
        <w:ind w:left="680" w:right="160"/>
        <w:spacing w:after="0" w:line="272" w:lineRule="auto"/>
        <w:rPr>
          <w:sz w:val="20"/>
          <w:szCs w:val="20"/>
          <w:color w:val="auto"/>
        </w:rPr>
      </w:pPr>
      <w:r>
        <w:rPr>
          <w:rFonts w:ascii="Arial" w:cs="Arial" w:eastAsia="Arial" w:hAnsi="Arial"/>
          <w:sz w:val="15"/>
          <w:szCs w:val="15"/>
          <w:color w:val="auto"/>
        </w:rPr>
        <w:t>$1,200,000. Mr. Olafsson is also eligible to receive a performance-based annual bonus with a target amount of 200% of base salary and a maximum amount of 400% of base salary. Pursuant to the 2025 CEO Agreement, for fiscal 2025, Mr. Olafsson was entitled to</w:t>
      </w:r>
    </w:p>
    <w:p>
      <w:pPr>
        <w:spacing w:after="0" w:line="1" w:lineRule="exact"/>
        <w:rPr>
          <w:sz w:val="20"/>
          <w:szCs w:val="20"/>
          <w:color w:val="auto"/>
        </w:rPr>
      </w:pPr>
    </w:p>
    <w:p>
      <w:pPr>
        <w:ind w:left="680" w:right="40" w:hanging="8"/>
        <w:spacing w:after="0" w:line="265" w:lineRule="auto"/>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pro-rata bonus for the pre-merger portion of the year based on the performance metrics and target and maximum bonus amounts that were in effect for that period, with such performance metrics adjusted by the HRCC in its sole discretion after consultation with Mr. Olafsson and (ii) a pro-rata bonus for the post-merger portion of the year using performance metrics mutually established and agreed upon by the Committee and Mr. Olafsson and target and maximum bonus amounts that were in effect for that period.</w:t>
      </w:r>
    </w:p>
    <w:p>
      <w:pPr>
        <w:spacing w:after="0" w:line="147" w:lineRule="exact"/>
        <w:rPr>
          <w:sz w:val="20"/>
          <w:szCs w:val="20"/>
          <w:color w:val="auto"/>
        </w:rPr>
      </w:pPr>
    </w:p>
    <w:p>
      <w:pPr>
        <w:ind w:left="680" w:right="120"/>
        <w:spacing w:after="0" w:line="277" w:lineRule="auto"/>
        <w:rPr>
          <w:sz w:val="20"/>
          <w:szCs w:val="20"/>
          <w:color w:val="auto"/>
        </w:rPr>
      </w:pPr>
      <w:r>
        <w:rPr>
          <w:rFonts w:ascii="Arial" w:cs="Arial" w:eastAsia="Arial" w:hAnsi="Arial"/>
          <w:sz w:val="15"/>
          <w:szCs w:val="15"/>
          <w:color w:val="auto"/>
        </w:rPr>
        <w:t>Pursuant to the 2026 CEO Agreement, the actual bonus earned by Mr. Olafsson in respect of any given year, if any, will be based on performance metrics to be determined by the Board or the HRCC in its sole discretion, after consultation with Mr. Olafsson. For any year in which Mr. Olafsson transitions to Executive Chair, Mr. Olafsson will be entitled to receive an annual bonus (i) determined for the portion of the year prior to the transition on a pro-rata basis using the base salary that was in effect for that period and</w:t>
      </w:r>
    </w:p>
    <w:p>
      <w:pPr>
        <w:spacing w:after="0" w:line="3" w:lineRule="exact"/>
        <w:rPr>
          <w:sz w:val="20"/>
          <w:szCs w:val="20"/>
          <w:color w:val="auto"/>
        </w:rPr>
      </w:pPr>
    </w:p>
    <w:p>
      <w:pPr>
        <w:jc w:val="both"/>
        <w:ind w:left="680" w:right="320" w:hanging="8"/>
        <w:spacing w:after="0" w:line="273" w:lineRule="auto"/>
        <w:tabs>
          <w:tab w:leader="none" w:pos="89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determined for the portion of the year following the transition on a pro-rata basis using the base salary that was in effect for the period following the transition, provided that the calculation of the bonus for any period when Mr. Olafsson is serving as Executive Chair will be prorated using a level of performance that is not less than target.</w:t>
      </w:r>
    </w:p>
    <w:p>
      <w:pPr>
        <w:spacing w:after="0" w:line="139" w:lineRule="exact"/>
        <w:rPr>
          <w:sz w:val="20"/>
          <w:szCs w:val="20"/>
          <w:color w:val="auto"/>
        </w:rPr>
      </w:pPr>
    </w:p>
    <w:p>
      <w:pPr>
        <w:ind w:left="680" w:right="60"/>
        <w:spacing w:after="0" w:line="264" w:lineRule="auto"/>
        <w:rPr>
          <w:sz w:val="20"/>
          <w:szCs w:val="20"/>
          <w:color w:val="auto"/>
        </w:rPr>
      </w:pPr>
      <w:r>
        <w:rPr>
          <w:rFonts w:ascii="Arial" w:cs="Arial" w:eastAsia="Arial" w:hAnsi="Arial"/>
          <w:sz w:val="16"/>
          <w:szCs w:val="16"/>
          <w:color w:val="auto"/>
        </w:rPr>
        <w:t>The 2026 CEO Agreement provides that, beginning in fiscal 2026, Mr. Olafsson is entitled to receive annual long-term incentive compensation grants, which (i) in 2026, include awards of 152,722 RSUs and PSUs and (ii) beginning in fiscal 2027, will have a grant date fair market value of no less than $11,500,000. The 2026 CEO Agreement also provides that Mr. Olafsson shall be entitled to participate in a one-time grant of RSUs to executive officers of Keenova (the “Founders Grant”) in an amount no less than 2.3 times the number of RSUs granted to the executive who receives the second largest RSU grant. The terms and conditions applicable to these awards shall be substantially consistent with the terms and conditions applicable to RSUs and PSUs (other than performance metrics) previously issued to Mr. Olafsson.</w:t>
      </w:r>
    </w:p>
    <w:p>
      <w:pPr>
        <w:spacing w:after="0" w:line="149" w:lineRule="exact"/>
        <w:rPr>
          <w:sz w:val="20"/>
          <w:szCs w:val="20"/>
          <w:color w:val="auto"/>
        </w:rPr>
      </w:pPr>
    </w:p>
    <w:p>
      <w:pPr>
        <w:jc w:val="both"/>
        <w:ind w:left="680" w:right="600"/>
        <w:spacing w:after="0" w:line="275" w:lineRule="auto"/>
        <w:rPr>
          <w:sz w:val="20"/>
          <w:szCs w:val="20"/>
          <w:color w:val="auto"/>
        </w:rPr>
      </w:pPr>
      <w:r>
        <w:rPr>
          <w:rFonts w:ascii="Arial" w:cs="Arial" w:eastAsia="Arial" w:hAnsi="Arial"/>
          <w:sz w:val="16"/>
          <w:szCs w:val="16"/>
          <w:color w:val="auto"/>
        </w:rPr>
        <w:t>The 2025 CEO Agreement and the 2026 CEO Agreement provide that Mr. Olafsson’s receipt of severance compensation and benefits is subject to Mr. Olafsson’s execution and non-revocation of a general release of claims against us and his continued compliance with certain restrictive covenants.</w:t>
      </w:r>
    </w:p>
    <w:p>
      <w:pPr>
        <w:spacing w:after="0" w:line="314"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​36 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6" w:lineRule="exact"/>
        <w:rPr>
          <w:sz w:val="20"/>
          <w:szCs w:val="20"/>
          <w:color w:val="auto"/>
        </w:rPr>
      </w:pPr>
    </w:p>
    <w:p>
      <w:pPr>
        <w:jc w:val="both"/>
        <w:ind w:left="680" w:right="260"/>
        <w:spacing w:after="0" w:line="284" w:lineRule="auto"/>
        <w:rPr>
          <w:sz w:val="20"/>
          <w:szCs w:val="20"/>
          <w:color w:val="auto"/>
        </w:rPr>
      </w:pPr>
      <w:r>
        <w:rPr>
          <w:rFonts w:ascii="Arial" w:cs="Arial" w:eastAsia="Arial" w:hAnsi="Arial"/>
          <w:sz w:val="16"/>
          <w:szCs w:val="16"/>
          <w:color w:val="auto"/>
        </w:rPr>
        <w:t>For information on such restrictive covenants, termination benefits under the 2025 CEO Agreement and the 2026 CEO Agreement and treatment of Mr. Olafsson’s incentive awards on a qualifying termination, see the section entitled “— Potential Payments Upon Termination or Change in Control.”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Ms. Stamoulis</w:t>
      </w:r>
    </w:p>
    <w:p>
      <w:pPr>
        <w:spacing w:after="0" w:line="120" w:lineRule="exact"/>
        <w:rPr>
          <w:sz w:val="20"/>
          <w:szCs w:val="20"/>
          <w:color w:val="auto"/>
        </w:rPr>
      </w:pPr>
    </w:p>
    <w:p>
      <w:pPr>
        <w:ind w:left="680" w:right="60"/>
        <w:spacing w:after="0" w:line="283" w:lineRule="auto"/>
        <w:rPr>
          <w:sz w:val="20"/>
          <w:szCs w:val="20"/>
          <w:color w:val="auto"/>
        </w:rPr>
      </w:pPr>
      <w:r>
        <w:rPr>
          <w:rFonts w:ascii="Arial" w:cs="Arial" w:eastAsia="Arial" w:hAnsi="Arial"/>
          <w:sz w:val="16"/>
          <w:szCs w:val="16"/>
          <w:color w:val="auto"/>
        </w:rPr>
        <w:t>On August 1, 2025, we entered into the CFO Agreement with Ms. Stamoulis. Pursuant to the CFO Agreement, Ms. Stamoulis received an initial annual base salary of $875,000. Ms. Stamoulis is also eligible to receive a performance-based annual bonus with a target amount of 80% of base salary. For fiscal 2025, Ms. Stamoulis’s annual bonus was guaranteed to equal $700,000 (which amount was to be to treated as her “target bonus” for purposes of the 2025 STIP) paid in accordance with the 2025 STIP.</w:t>
      </w:r>
    </w:p>
    <w:p>
      <w:pPr>
        <w:spacing w:after="0" w:line="131" w:lineRule="exact"/>
        <w:rPr>
          <w:sz w:val="20"/>
          <w:szCs w:val="20"/>
          <w:color w:val="auto"/>
        </w:rPr>
      </w:pPr>
    </w:p>
    <w:p>
      <w:pPr>
        <w:ind w:left="680" w:right="280"/>
        <w:spacing w:after="0" w:line="279" w:lineRule="auto"/>
        <w:rPr>
          <w:sz w:val="20"/>
          <w:szCs w:val="20"/>
          <w:color w:val="auto"/>
        </w:rPr>
      </w:pPr>
      <w:r>
        <w:rPr>
          <w:rFonts w:ascii="Arial" w:cs="Arial" w:eastAsia="Arial" w:hAnsi="Arial"/>
          <w:sz w:val="16"/>
          <w:szCs w:val="16"/>
          <w:color w:val="auto"/>
        </w:rPr>
        <w:t>In addition, the CFO Agreement provides that the Company would (i) pay Ms. Stamoulis the CFO Cash Inducement Award, half of which will vest and become payable on each of July 1, 2026 and July 1, 2027, subject to her continued service through each such vesting date and (ii) as soon as reasonably practicable following her start date, grant Ms. Stamoulis the CFO Equity Inducement Award to vest in substantially equal installments on each of December 15, 2025, December 15, 2026 and December 15, 2027, subject to her continued service through such dates. The CFO Equity Inducement Award is intended to partially compensate Ms. Stamoulis for forfeited equity awards granted prior to 2025 by her prior employer.</w:t>
      </w:r>
    </w:p>
    <w:p>
      <w:pPr>
        <w:spacing w:after="0" w:line="148" w:lineRule="exact"/>
        <w:rPr>
          <w:sz w:val="20"/>
          <w:szCs w:val="20"/>
          <w:color w:val="auto"/>
        </w:rPr>
      </w:pPr>
    </w:p>
    <w:p>
      <w:pPr>
        <w:ind w:left="680" w:right="120"/>
        <w:spacing w:after="0" w:line="311" w:lineRule="auto"/>
        <w:rPr>
          <w:sz w:val="20"/>
          <w:szCs w:val="20"/>
          <w:color w:val="auto"/>
        </w:rPr>
      </w:pPr>
      <w:r>
        <w:rPr>
          <w:rFonts w:ascii="Arial" w:cs="Arial" w:eastAsia="Arial" w:hAnsi="Arial"/>
          <w:sz w:val="15"/>
          <w:szCs w:val="15"/>
          <w:color w:val="auto"/>
        </w:rPr>
        <w:t>The CFO Agreement also provides that commencing in fiscal 2026, Ms. Stamoulis’s target annual long-term incentive compensation grant will be no less than $5,000,000 per year. The CFO Agreement also provided that, for fiscal 2026 only, Ms. Stamoulis would receive the Top-Up Award, intended to partially compensate her for forfeited equity awards granted in 2025 by her prior employer.</w:t>
      </w:r>
    </w:p>
    <w:p>
      <w:pPr>
        <w:spacing w:after="0" w:line="126" w:lineRule="exact"/>
        <w:rPr>
          <w:sz w:val="20"/>
          <w:szCs w:val="20"/>
          <w:color w:val="auto"/>
        </w:rPr>
      </w:pPr>
    </w:p>
    <w:p>
      <w:pPr>
        <w:ind w:left="680" w:right="240"/>
        <w:spacing w:after="0" w:line="304" w:lineRule="auto"/>
        <w:rPr>
          <w:sz w:val="20"/>
          <w:szCs w:val="20"/>
          <w:color w:val="auto"/>
        </w:rPr>
      </w:pPr>
      <w:r>
        <w:rPr>
          <w:rFonts w:ascii="Arial" w:cs="Arial" w:eastAsia="Arial" w:hAnsi="Arial"/>
          <w:sz w:val="16"/>
          <w:szCs w:val="16"/>
          <w:color w:val="auto"/>
        </w:rPr>
        <w:t>The CFO Agreement provides that receipt of severance compensation and benefits is subject to execution and non-revocation of a general release of claims against us and her continued compliance with certain restrictive covenants.</w:t>
      </w:r>
    </w:p>
    <w:p>
      <w:pPr>
        <w:spacing w:after="0" w:line="128" w:lineRule="exact"/>
        <w:rPr>
          <w:sz w:val="20"/>
          <w:szCs w:val="20"/>
          <w:color w:val="auto"/>
        </w:rPr>
      </w:pPr>
    </w:p>
    <w:p>
      <w:pPr>
        <w:ind w:left="680" w:right="60"/>
        <w:spacing w:after="0" w:line="292" w:lineRule="auto"/>
        <w:rPr>
          <w:sz w:val="20"/>
          <w:szCs w:val="20"/>
          <w:color w:val="auto"/>
        </w:rPr>
      </w:pPr>
      <w:r>
        <w:rPr>
          <w:rFonts w:ascii="Arial" w:cs="Arial" w:eastAsia="Arial" w:hAnsi="Arial"/>
          <w:sz w:val="16"/>
          <w:szCs w:val="16"/>
          <w:color w:val="auto"/>
        </w:rPr>
        <w:t>For information on such restrictive covenants, termination benefits under the CFO Agreement and treatment of incentive awards on a qualifying termination under the CFO Agreement, see the section entitled “— Potential Payments Upon Termination or Change in Control.”</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Other NEOs</w:t>
      </w:r>
    </w:p>
    <w:p>
      <w:pPr>
        <w:spacing w:after="0" w:line="120" w:lineRule="exact"/>
        <w:rPr>
          <w:sz w:val="20"/>
          <w:szCs w:val="20"/>
          <w:color w:val="auto"/>
        </w:rPr>
      </w:pPr>
    </w:p>
    <w:p>
      <w:pPr>
        <w:ind w:left="680" w:right="340"/>
        <w:spacing w:after="0" w:line="292" w:lineRule="auto"/>
        <w:rPr>
          <w:sz w:val="20"/>
          <w:szCs w:val="20"/>
          <w:color w:val="auto"/>
        </w:rPr>
      </w:pPr>
      <w:r>
        <w:rPr>
          <w:rFonts w:ascii="Arial" w:cs="Arial" w:eastAsia="Arial" w:hAnsi="Arial"/>
          <w:sz w:val="16"/>
          <w:szCs w:val="16"/>
          <w:color w:val="auto"/>
        </w:rPr>
        <w:t>On February 2, 2024, we entered into amended and restated employment agreements with each of Ms. Nielsen, Ms. French, Mr. Tyndall and Mr. Reasons (the “2024 NEO Agreements”), which superseded the employment agreements we entered into with such NEOs upon our emergence from the 2020 Bankruptcy Proceedings on June 16, 2022.</w:t>
      </w:r>
    </w:p>
    <w:p>
      <w:pPr>
        <w:spacing w:after="0" w:line="125" w:lineRule="exact"/>
        <w:rPr>
          <w:sz w:val="20"/>
          <w:szCs w:val="20"/>
          <w:color w:val="auto"/>
        </w:rPr>
      </w:pPr>
    </w:p>
    <w:p>
      <w:pPr>
        <w:ind w:left="680" w:right="40"/>
        <w:spacing w:after="0" w:line="276" w:lineRule="auto"/>
        <w:rPr>
          <w:sz w:val="20"/>
          <w:szCs w:val="20"/>
          <w:color w:val="auto"/>
        </w:rPr>
      </w:pPr>
      <w:r>
        <w:rPr>
          <w:rFonts w:ascii="Arial" w:cs="Arial" w:eastAsia="Arial" w:hAnsi="Arial"/>
          <w:sz w:val="16"/>
          <w:szCs w:val="16"/>
          <w:color w:val="auto"/>
        </w:rPr>
        <w:t>The 2024 NEO Agreements established the initial base salary amounts for these NEOs. Pursuant to the 2024 NEO Agreements, each such NEO is also eligible to receive a performance-based annual bonus with a target amount of 75% of base salary and a maximum amount of 150% of base salary. In addition, the 2024 NEO Agreements provide for the grant of a one-time equity award, as described above under the section entitled “Compensation Discussion and Analysis — Fiscal 2025 Executive Compensation — Long-Term Incentive Compensation — 2024 Awards.” The 2024 NEO Agreements also provide for participation in the Transaction Incentive Plan, as described above under the section entitled “Compensation Discussion and Analysis — Fiscal 2025 Executive Compensation — Transaction Incentive Plan.”</w:t>
      </w:r>
    </w:p>
    <w:p>
      <w:pPr>
        <w:spacing w:after="0" w:line="152" w:lineRule="exact"/>
        <w:rPr>
          <w:sz w:val="20"/>
          <w:szCs w:val="20"/>
          <w:color w:val="auto"/>
        </w:rPr>
      </w:pPr>
    </w:p>
    <w:p>
      <w:pPr>
        <w:ind w:left="680" w:right="140"/>
        <w:spacing w:after="0" w:line="304" w:lineRule="auto"/>
        <w:rPr>
          <w:sz w:val="20"/>
          <w:szCs w:val="20"/>
          <w:color w:val="auto"/>
        </w:rPr>
      </w:pPr>
      <w:r>
        <w:rPr>
          <w:rFonts w:ascii="Arial" w:cs="Arial" w:eastAsia="Arial" w:hAnsi="Arial"/>
          <w:sz w:val="16"/>
          <w:szCs w:val="16"/>
          <w:color w:val="auto"/>
        </w:rPr>
        <w:t>The 2024 NEO Agreements provide that receipt of severance compensation and benefits is subject to execution and non-revocation of a general release of claims against us and the NEO’s continued compliance with certain restrictive covenants.</w:t>
      </w:r>
    </w:p>
    <w:p>
      <w:pPr>
        <w:spacing w:after="0" w:line="128" w:lineRule="exact"/>
        <w:rPr>
          <w:sz w:val="20"/>
          <w:szCs w:val="20"/>
          <w:color w:val="auto"/>
        </w:rPr>
      </w:pPr>
    </w:p>
    <w:p>
      <w:pPr>
        <w:ind w:left="680" w:right="500"/>
        <w:spacing w:after="0" w:line="292" w:lineRule="auto"/>
        <w:rPr>
          <w:sz w:val="20"/>
          <w:szCs w:val="20"/>
          <w:color w:val="auto"/>
        </w:rPr>
      </w:pPr>
      <w:r>
        <w:rPr>
          <w:rFonts w:ascii="Arial" w:cs="Arial" w:eastAsia="Arial" w:hAnsi="Arial"/>
          <w:sz w:val="16"/>
          <w:szCs w:val="16"/>
          <w:color w:val="auto"/>
        </w:rPr>
        <w:t>For information on such restrictive covenants, termination benefits under the 2024 NEO Agreements and treatment of incentive awards on a qualifying termination under the 2024 NEO Agreements, see the section entitled “— Potential Payments Upon Termination or Change in Control.”</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26" w:lineRule="exact"/>
        <w:rPr>
          <w:sz w:val="20"/>
          <w:szCs w:val="20"/>
          <w:color w:val="auto"/>
        </w:rPr>
      </w:pPr>
    </w:p>
    <w:p>
      <w:pPr>
        <w:ind w:left="680" w:right="200"/>
        <w:spacing w:after="0" w:line="284" w:lineRule="auto"/>
        <w:rPr>
          <w:sz w:val="20"/>
          <w:szCs w:val="20"/>
          <w:color w:val="auto"/>
        </w:rPr>
      </w:pPr>
      <w:r>
        <w:rPr>
          <w:rFonts w:ascii="Arial" w:cs="Arial" w:eastAsia="Arial" w:hAnsi="Arial"/>
          <w:sz w:val="16"/>
          <w:szCs w:val="16"/>
          <w:color w:val="auto"/>
        </w:rPr>
        <w:t>The following table provides information regarding unvested RSU awards (including the Converted PSUs) held by each NEO (other than Mr. Reasons who did not hold any unvested equity awards as of December 31, 2025) and the corresponding fair value as of December 31, 2025. For a more complete understanding of the table, please read the footnotes that follow the table.</w:t>
      </w:r>
    </w:p>
    <w:p>
      <w:pPr>
        <w:spacing w:after="0" w:line="272"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37</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514B"/>
        </w:rPr>
        <w:t>Outstanding Equity Awards at 2025 Fiscal Year-End</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940" w:type="dxa"/>
            <w:vAlign w:val="bottom"/>
            <w:shd w:val="clear" w:color="auto" w:fill="B2EEDE"/>
          </w:tcPr>
          <w:p>
            <w:pPr>
              <w:spacing w:after="0"/>
              <w:rPr>
                <w:sz w:val="17"/>
                <w:szCs w:val="17"/>
                <w:color w:val="auto"/>
              </w:rPr>
            </w:pPr>
          </w:p>
        </w:tc>
        <w:tc>
          <w:tcPr>
            <w:tcW w:w="1500" w:type="dxa"/>
            <w:vAlign w:val="bottom"/>
            <w:shd w:val="clear" w:color="auto" w:fill="B2EEDE"/>
          </w:tcPr>
          <w:p>
            <w:pPr>
              <w:spacing w:after="0"/>
              <w:rPr>
                <w:sz w:val="17"/>
                <w:szCs w:val="17"/>
                <w:color w:val="auto"/>
              </w:rPr>
            </w:pPr>
          </w:p>
        </w:tc>
        <w:tc>
          <w:tcPr>
            <w:tcW w:w="140" w:type="dxa"/>
            <w:vAlign w:val="bottom"/>
            <w:shd w:val="clear" w:color="auto" w:fill="B2EEDE"/>
          </w:tcPr>
          <w:p>
            <w:pPr>
              <w:spacing w:after="0"/>
              <w:rPr>
                <w:sz w:val="17"/>
                <w:szCs w:val="17"/>
                <w:color w:val="auto"/>
              </w:rPr>
            </w:pPr>
          </w:p>
        </w:tc>
        <w:tc>
          <w:tcPr>
            <w:tcW w:w="620" w:type="dxa"/>
            <w:vAlign w:val="bottom"/>
            <w:shd w:val="clear" w:color="auto" w:fill="B2EEDE"/>
          </w:tcPr>
          <w:p>
            <w:pPr>
              <w:spacing w:after="0"/>
              <w:rPr>
                <w:sz w:val="17"/>
                <w:szCs w:val="17"/>
                <w:color w:val="auto"/>
              </w:rPr>
            </w:pPr>
          </w:p>
        </w:tc>
        <w:tc>
          <w:tcPr>
            <w:tcW w:w="240" w:type="dxa"/>
            <w:vAlign w:val="bottom"/>
            <w:shd w:val="clear" w:color="auto" w:fill="B2EEDE"/>
          </w:tcPr>
          <w:p>
            <w:pPr>
              <w:spacing w:after="0"/>
              <w:rPr>
                <w:sz w:val="17"/>
                <w:szCs w:val="17"/>
                <w:color w:val="auto"/>
              </w:rPr>
            </w:pPr>
          </w:p>
        </w:tc>
        <w:tc>
          <w:tcPr>
            <w:tcW w:w="980" w:type="dxa"/>
            <w:vAlign w:val="bottom"/>
            <w:shd w:val="clear" w:color="auto" w:fill="B2EEDE"/>
          </w:tcPr>
          <w:p>
            <w:pPr>
              <w:spacing w:after="0"/>
              <w:rPr>
                <w:sz w:val="17"/>
                <w:szCs w:val="17"/>
                <w:color w:val="auto"/>
              </w:rPr>
            </w:pPr>
          </w:p>
        </w:tc>
        <w:tc>
          <w:tcPr>
            <w:tcW w:w="240" w:type="dxa"/>
            <w:vAlign w:val="bottom"/>
            <w:shd w:val="clear" w:color="auto" w:fill="B2EEDE"/>
          </w:tcPr>
          <w:p>
            <w:pPr>
              <w:spacing w:after="0"/>
              <w:rPr>
                <w:sz w:val="17"/>
                <w:szCs w:val="17"/>
                <w:color w:val="auto"/>
              </w:rPr>
            </w:pPr>
          </w:p>
        </w:tc>
        <w:tc>
          <w:tcPr>
            <w:tcW w:w="1240" w:type="dxa"/>
            <w:vAlign w:val="bottom"/>
            <w:shd w:val="clear" w:color="auto" w:fill="B2EEDE"/>
          </w:tcPr>
          <w:p>
            <w:pPr>
              <w:spacing w:after="0"/>
              <w:rPr>
                <w:sz w:val="17"/>
                <w:szCs w:val="17"/>
                <w:color w:val="auto"/>
              </w:rPr>
            </w:pPr>
          </w:p>
        </w:tc>
        <w:tc>
          <w:tcPr>
            <w:tcW w:w="260" w:type="dxa"/>
            <w:vAlign w:val="bottom"/>
            <w:shd w:val="clear" w:color="auto" w:fill="B2EEDE"/>
          </w:tcPr>
          <w:p>
            <w:pPr>
              <w:spacing w:after="0"/>
              <w:rPr>
                <w:sz w:val="17"/>
                <w:szCs w:val="17"/>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B2EEDE"/>
          </w:tcPr>
          <w:p>
            <w:pPr>
              <w:spacing w:after="0"/>
              <w:rPr>
                <w:sz w:val="17"/>
                <w:szCs w:val="17"/>
                <w:color w:val="auto"/>
              </w:rPr>
            </w:pPr>
          </w:p>
        </w:tc>
      </w:tr>
      <w:tr>
        <w:trPr>
          <w:trHeight w:val="176"/>
        </w:trPr>
        <w:tc>
          <w:tcPr>
            <w:tcW w:w="2940" w:type="dxa"/>
            <w:vAlign w:val="bottom"/>
            <w:shd w:val="clear" w:color="auto" w:fill="B2EEDE"/>
          </w:tcPr>
          <w:p>
            <w:pPr>
              <w:spacing w:after="0"/>
              <w:rPr>
                <w:sz w:val="15"/>
                <w:szCs w:val="15"/>
                <w:color w:val="auto"/>
              </w:rPr>
            </w:pPr>
          </w:p>
        </w:tc>
        <w:tc>
          <w:tcPr>
            <w:tcW w:w="1500" w:type="dxa"/>
            <w:vAlign w:val="bottom"/>
            <w:shd w:val="clear" w:color="auto" w:fill="B2EEDE"/>
          </w:tcPr>
          <w:p>
            <w:pPr>
              <w:spacing w:after="0"/>
              <w:rPr>
                <w:sz w:val="15"/>
                <w:szCs w:val="15"/>
                <w:color w:val="auto"/>
              </w:rPr>
            </w:pPr>
          </w:p>
        </w:tc>
        <w:tc>
          <w:tcPr>
            <w:tcW w:w="140" w:type="dxa"/>
            <w:vAlign w:val="bottom"/>
            <w:shd w:val="clear" w:color="auto" w:fill="B2EEDE"/>
          </w:tcPr>
          <w:p>
            <w:pPr>
              <w:spacing w:after="0"/>
              <w:rPr>
                <w:sz w:val="15"/>
                <w:szCs w:val="15"/>
                <w:color w:val="auto"/>
              </w:rPr>
            </w:pPr>
          </w:p>
        </w:tc>
        <w:tc>
          <w:tcPr>
            <w:tcW w:w="620" w:type="dxa"/>
            <w:vAlign w:val="bottom"/>
            <w:shd w:val="clear" w:color="auto" w:fill="B2EEDE"/>
          </w:tcPr>
          <w:p>
            <w:pPr>
              <w:spacing w:after="0"/>
              <w:rPr>
                <w:sz w:val="15"/>
                <w:szCs w:val="15"/>
                <w:color w:val="auto"/>
              </w:rPr>
            </w:pPr>
          </w:p>
        </w:tc>
        <w:tc>
          <w:tcPr>
            <w:tcW w:w="240" w:type="dxa"/>
            <w:vAlign w:val="bottom"/>
            <w:shd w:val="clear" w:color="auto" w:fill="B2EEDE"/>
          </w:tcPr>
          <w:p>
            <w:pPr>
              <w:spacing w:after="0"/>
              <w:rPr>
                <w:sz w:val="15"/>
                <w:szCs w:val="15"/>
                <w:color w:val="auto"/>
              </w:rPr>
            </w:pPr>
          </w:p>
        </w:tc>
        <w:tc>
          <w:tcPr>
            <w:tcW w:w="980" w:type="dxa"/>
            <w:vAlign w:val="bottom"/>
            <w:shd w:val="clear" w:color="auto" w:fill="B2EEDE"/>
          </w:tcPr>
          <w:p>
            <w:pPr>
              <w:spacing w:after="0"/>
              <w:rPr>
                <w:sz w:val="15"/>
                <w:szCs w:val="15"/>
                <w:color w:val="auto"/>
              </w:rPr>
            </w:pPr>
          </w:p>
        </w:tc>
        <w:tc>
          <w:tcPr>
            <w:tcW w:w="240" w:type="dxa"/>
            <w:vAlign w:val="bottom"/>
            <w:shd w:val="clear" w:color="auto" w:fill="B2EEDE"/>
          </w:tcPr>
          <w:p>
            <w:pPr>
              <w:spacing w:after="0"/>
              <w:rPr>
                <w:sz w:val="15"/>
                <w:szCs w:val="15"/>
                <w:color w:val="auto"/>
              </w:rPr>
            </w:pPr>
          </w:p>
        </w:tc>
        <w:tc>
          <w:tcPr>
            <w:tcW w:w="1240" w:type="dxa"/>
            <w:vAlign w:val="bottom"/>
            <w:shd w:val="clear" w:color="auto" w:fill="B2EEDE"/>
          </w:tcPr>
          <w:p>
            <w:pPr>
              <w:spacing w:after="0"/>
              <w:rPr>
                <w:sz w:val="15"/>
                <w:szCs w:val="15"/>
                <w:color w:val="auto"/>
              </w:rPr>
            </w:pPr>
          </w:p>
        </w:tc>
        <w:tc>
          <w:tcPr>
            <w:tcW w:w="260" w:type="dxa"/>
            <w:vAlign w:val="bottom"/>
            <w:shd w:val="clear" w:color="auto" w:fill="B2EEDE"/>
          </w:tcPr>
          <w:p>
            <w:pPr>
              <w:spacing w:after="0"/>
              <w:rPr>
                <w:sz w:val="15"/>
                <w:szCs w:val="15"/>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B2EEDE"/>
          </w:tcPr>
          <w:p>
            <w:pPr>
              <w:spacing w:after="0"/>
              <w:rPr>
                <w:sz w:val="15"/>
                <w:szCs w:val="15"/>
                <w:color w:val="auto"/>
              </w:rPr>
            </w:pPr>
          </w:p>
        </w:tc>
      </w:tr>
      <w:tr>
        <w:trPr>
          <w:trHeight w:val="175"/>
        </w:trPr>
        <w:tc>
          <w:tcPr>
            <w:tcW w:w="2940" w:type="dxa"/>
            <w:vAlign w:val="bottom"/>
            <w:shd w:val="clear" w:color="auto" w:fill="B2EEDE"/>
          </w:tcPr>
          <w:p>
            <w:pPr>
              <w:spacing w:after="0"/>
              <w:rPr>
                <w:sz w:val="15"/>
                <w:szCs w:val="15"/>
                <w:color w:val="auto"/>
              </w:rPr>
            </w:pPr>
          </w:p>
        </w:tc>
        <w:tc>
          <w:tcPr>
            <w:tcW w:w="1500" w:type="dxa"/>
            <w:vAlign w:val="bottom"/>
            <w:shd w:val="clear" w:color="auto" w:fill="B2EEDE"/>
          </w:tcPr>
          <w:p>
            <w:pPr>
              <w:spacing w:after="0"/>
              <w:rPr>
                <w:sz w:val="15"/>
                <w:szCs w:val="15"/>
                <w:color w:val="auto"/>
              </w:rPr>
            </w:pPr>
          </w:p>
        </w:tc>
        <w:tc>
          <w:tcPr>
            <w:tcW w:w="140" w:type="dxa"/>
            <w:vAlign w:val="bottom"/>
            <w:shd w:val="clear" w:color="auto" w:fill="B2EEDE"/>
          </w:tcPr>
          <w:p>
            <w:pPr>
              <w:spacing w:after="0"/>
              <w:rPr>
                <w:sz w:val="15"/>
                <w:szCs w:val="15"/>
                <w:color w:val="auto"/>
              </w:rPr>
            </w:pPr>
          </w:p>
        </w:tc>
        <w:tc>
          <w:tcPr>
            <w:tcW w:w="620" w:type="dxa"/>
            <w:vAlign w:val="bottom"/>
            <w:shd w:val="clear" w:color="auto" w:fill="B2EEDE"/>
          </w:tcPr>
          <w:p>
            <w:pPr>
              <w:spacing w:after="0"/>
              <w:rPr>
                <w:sz w:val="15"/>
                <w:szCs w:val="15"/>
                <w:color w:val="auto"/>
              </w:rPr>
            </w:pPr>
          </w:p>
        </w:tc>
        <w:tc>
          <w:tcPr>
            <w:tcW w:w="240" w:type="dxa"/>
            <w:vAlign w:val="bottom"/>
            <w:shd w:val="clear" w:color="auto" w:fill="B2EEDE"/>
          </w:tcPr>
          <w:p>
            <w:pPr>
              <w:spacing w:after="0"/>
              <w:rPr>
                <w:sz w:val="15"/>
                <w:szCs w:val="15"/>
                <w:color w:val="auto"/>
              </w:rPr>
            </w:pPr>
          </w:p>
        </w:tc>
        <w:tc>
          <w:tcPr>
            <w:tcW w:w="980" w:type="dxa"/>
            <w:vAlign w:val="bottom"/>
            <w:shd w:val="clear" w:color="auto" w:fill="B2EEDE"/>
          </w:tcPr>
          <w:p>
            <w:pPr>
              <w:spacing w:after="0"/>
              <w:rPr>
                <w:sz w:val="15"/>
                <w:szCs w:val="15"/>
                <w:color w:val="auto"/>
              </w:rPr>
            </w:pPr>
          </w:p>
        </w:tc>
        <w:tc>
          <w:tcPr>
            <w:tcW w:w="240" w:type="dxa"/>
            <w:vAlign w:val="bottom"/>
            <w:shd w:val="clear" w:color="auto" w:fill="B2EEDE"/>
          </w:tcPr>
          <w:p>
            <w:pPr>
              <w:spacing w:after="0"/>
              <w:rPr>
                <w:sz w:val="15"/>
                <w:szCs w:val="15"/>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Equity</w:t>
            </w:r>
          </w:p>
        </w:tc>
        <w:tc>
          <w:tcPr>
            <w:tcW w:w="260" w:type="dxa"/>
            <w:vAlign w:val="bottom"/>
            <w:shd w:val="clear" w:color="auto" w:fill="B2EEDE"/>
          </w:tcPr>
          <w:p>
            <w:pPr>
              <w:spacing w:after="0"/>
              <w:rPr>
                <w:sz w:val="15"/>
                <w:szCs w:val="15"/>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Plan Awards:</w:t>
            </w:r>
          </w:p>
        </w:tc>
        <w:tc>
          <w:tcPr>
            <w:tcW w:w="120" w:type="dxa"/>
            <w:vAlign w:val="bottom"/>
            <w:shd w:val="clear" w:color="auto" w:fill="B2EEDE"/>
          </w:tcPr>
          <w:p>
            <w:pPr>
              <w:spacing w:after="0"/>
              <w:rPr>
                <w:sz w:val="15"/>
                <w:szCs w:val="15"/>
                <w:color w:val="auto"/>
              </w:rPr>
            </w:pPr>
          </w:p>
        </w:tc>
      </w:tr>
      <w:tr>
        <w:trPr>
          <w:trHeight w:val="189"/>
        </w:trPr>
        <w:tc>
          <w:tcPr>
            <w:tcW w:w="2940" w:type="dxa"/>
            <w:vAlign w:val="bottom"/>
            <w:shd w:val="clear" w:color="auto" w:fill="B2EEDE"/>
          </w:tcPr>
          <w:p>
            <w:pPr>
              <w:spacing w:after="0"/>
              <w:rPr>
                <w:sz w:val="16"/>
                <w:szCs w:val="16"/>
                <w:color w:val="auto"/>
              </w:rPr>
            </w:pPr>
          </w:p>
        </w:tc>
        <w:tc>
          <w:tcPr>
            <w:tcW w:w="1500" w:type="dxa"/>
            <w:vAlign w:val="bottom"/>
            <w:shd w:val="clear" w:color="auto" w:fill="B2EEDE"/>
          </w:tcPr>
          <w:p>
            <w:pPr>
              <w:spacing w:after="0"/>
              <w:rPr>
                <w:sz w:val="16"/>
                <w:szCs w:val="16"/>
                <w:color w:val="auto"/>
              </w:rPr>
            </w:pPr>
          </w:p>
        </w:tc>
        <w:tc>
          <w:tcPr>
            <w:tcW w:w="140" w:type="dxa"/>
            <w:vAlign w:val="bottom"/>
            <w:shd w:val="clear" w:color="auto" w:fill="B2EEDE"/>
          </w:tcPr>
          <w:p>
            <w:pPr>
              <w:spacing w:after="0"/>
              <w:rPr>
                <w:sz w:val="16"/>
                <w:szCs w:val="16"/>
                <w:color w:val="auto"/>
              </w:rPr>
            </w:pPr>
          </w:p>
        </w:tc>
        <w:tc>
          <w:tcPr>
            <w:tcW w:w="62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98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Incentive</w:t>
            </w:r>
          </w:p>
        </w:tc>
        <w:tc>
          <w:tcPr>
            <w:tcW w:w="260" w:type="dxa"/>
            <w:vAlign w:val="bottom"/>
            <w:shd w:val="clear" w:color="auto" w:fill="B2EEDE"/>
          </w:tcPr>
          <w:p>
            <w:pPr>
              <w:spacing w:after="0"/>
              <w:rPr>
                <w:sz w:val="16"/>
                <w:szCs w:val="16"/>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Market or</w:t>
            </w:r>
          </w:p>
        </w:tc>
        <w:tc>
          <w:tcPr>
            <w:tcW w:w="120" w:type="dxa"/>
            <w:vAlign w:val="bottom"/>
            <w:shd w:val="clear" w:color="auto" w:fill="B2EEDE"/>
          </w:tcPr>
          <w:p>
            <w:pPr>
              <w:spacing w:after="0"/>
              <w:rPr>
                <w:sz w:val="16"/>
                <w:szCs w:val="16"/>
                <w:color w:val="auto"/>
              </w:rPr>
            </w:pPr>
          </w:p>
        </w:tc>
      </w:tr>
      <w:tr>
        <w:trPr>
          <w:trHeight w:val="176"/>
        </w:trPr>
        <w:tc>
          <w:tcPr>
            <w:tcW w:w="2940" w:type="dxa"/>
            <w:vAlign w:val="bottom"/>
            <w:shd w:val="clear" w:color="auto" w:fill="B2EEDE"/>
          </w:tcPr>
          <w:p>
            <w:pPr>
              <w:spacing w:after="0"/>
              <w:rPr>
                <w:sz w:val="15"/>
                <w:szCs w:val="15"/>
                <w:color w:val="auto"/>
              </w:rPr>
            </w:pPr>
          </w:p>
        </w:tc>
        <w:tc>
          <w:tcPr>
            <w:tcW w:w="1500" w:type="dxa"/>
            <w:vAlign w:val="bottom"/>
            <w:shd w:val="clear" w:color="auto" w:fill="B2EEDE"/>
          </w:tcPr>
          <w:p>
            <w:pPr>
              <w:spacing w:after="0"/>
              <w:rPr>
                <w:sz w:val="15"/>
                <w:szCs w:val="15"/>
                <w:color w:val="auto"/>
              </w:rPr>
            </w:pPr>
          </w:p>
        </w:tc>
        <w:tc>
          <w:tcPr>
            <w:tcW w:w="7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shd w:val="clear" w:color="auto" w:fill="B2EEDE"/>
          </w:tcPr>
          <w:p>
            <w:pPr>
              <w:spacing w:after="0"/>
              <w:rPr>
                <w:sz w:val="15"/>
                <w:szCs w:val="15"/>
                <w:color w:val="auto"/>
              </w:rPr>
            </w:pPr>
          </w:p>
        </w:tc>
        <w:tc>
          <w:tcPr>
            <w:tcW w:w="980" w:type="dxa"/>
            <w:vAlign w:val="bottom"/>
            <w:shd w:val="clear" w:color="auto" w:fill="B2EEDE"/>
          </w:tcPr>
          <w:p>
            <w:pPr>
              <w:spacing w:after="0"/>
              <w:rPr>
                <w:sz w:val="15"/>
                <w:szCs w:val="15"/>
                <w:color w:val="auto"/>
              </w:rPr>
            </w:pPr>
          </w:p>
        </w:tc>
        <w:tc>
          <w:tcPr>
            <w:tcW w:w="240" w:type="dxa"/>
            <w:vAlign w:val="bottom"/>
            <w:shd w:val="clear" w:color="auto" w:fill="B2EEDE"/>
          </w:tcPr>
          <w:p>
            <w:pPr>
              <w:spacing w:after="0"/>
              <w:rPr>
                <w:sz w:val="15"/>
                <w:szCs w:val="15"/>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Plan Awards:</w:t>
            </w:r>
          </w:p>
        </w:tc>
        <w:tc>
          <w:tcPr>
            <w:tcW w:w="260" w:type="dxa"/>
            <w:vAlign w:val="bottom"/>
            <w:shd w:val="clear" w:color="auto" w:fill="B2EEDE"/>
          </w:tcPr>
          <w:p>
            <w:pPr>
              <w:spacing w:after="0"/>
              <w:rPr>
                <w:sz w:val="15"/>
                <w:szCs w:val="15"/>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Payout Value</w:t>
            </w:r>
          </w:p>
        </w:tc>
        <w:tc>
          <w:tcPr>
            <w:tcW w:w="120" w:type="dxa"/>
            <w:vAlign w:val="bottom"/>
            <w:shd w:val="clear" w:color="auto" w:fill="B2EEDE"/>
          </w:tcPr>
          <w:p>
            <w:pPr>
              <w:spacing w:after="0"/>
              <w:rPr>
                <w:sz w:val="15"/>
                <w:szCs w:val="15"/>
                <w:color w:val="auto"/>
              </w:rPr>
            </w:pPr>
          </w:p>
        </w:tc>
      </w:tr>
      <w:tr>
        <w:trPr>
          <w:trHeight w:val="175"/>
        </w:trPr>
        <w:tc>
          <w:tcPr>
            <w:tcW w:w="2940" w:type="dxa"/>
            <w:vAlign w:val="bottom"/>
            <w:shd w:val="clear" w:color="auto" w:fill="B2EEDE"/>
          </w:tcPr>
          <w:p>
            <w:pPr>
              <w:spacing w:after="0"/>
              <w:rPr>
                <w:sz w:val="15"/>
                <w:szCs w:val="15"/>
                <w:color w:val="auto"/>
              </w:rPr>
            </w:pPr>
          </w:p>
        </w:tc>
        <w:tc>
          <w:tcPr>
            <w:tcW w:w="1500" w:type="dxa"/>
            <w:vAlign w:val="bottom"/>
            <w:shd w:val="clear" w:color="auto" w:fill="B2EEDE"/>
          </w:tcPr>
          <w:p>
            <w:pPr>
              <w:spacing w:after="0"/>
              <w:rPr>
                <w:sz w:val="15"/>
                <w:szCs w:val="15"/>
                <w:color w:val="auto"/>
              </w:rPr>
            </w:pPr>
          </w:p>
        </w:tc>
        <w:tc>
          <w:tcPr>
            <w:tcW w:w="7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Shares or</w:t>
            </w:r>
          </w:p>
        </w:tc>
        <w:tc>
          <w:tcPr>
            <w:tcW w:w="240" w:type="dxa"/>
            <w:vAlign w:val="bottom"/>
            <w:shd w:val="clear" w:color="auto" w:fill="B2EEDE"/>
          </w:tcPr>
          <w:p>
            <w:pPr>
              <w:spacing w:after="0"/>
              <w:rPr>
                <w:sz w:val="15"/>
                <w:szCs w:val="15"/>
                <w:color w:val="auto"/>
              </w:rPr>
            </w:pPr>
          </w:p>
        </w:tc>
        <w:tc>
          <w:tcPr>
            <w:tcW w:w="9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Market Value</w:t>
            </w:r>
          </w:p>
        </w:tc>
        <w:tc>
          <w:tcPr>
            <w:tcW w:w="240" w:type="dxa"/>
            <w:vAlign w:val="bottom"/>
            <w:shd w:val="clear" w:color="auto" w:fill="B2EEDE"/>
          </w:tcPr>
          <w:p>
            <w:pPr>
              <w:spacing w:after="0"/>
              <w:rPr>
                <w:sz w:val="15"/>
                <w:szCs w:val="15"/>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w:t>
            </w:r>
          </w:p>
        </w:tc>
        <w:tc>
          <w:tcPr>
            <w:tcW w:w="260" w:type="dxa"/>
            <w:vAlign w:val="bottom"/>
            <w:shd w:val="clear" w:color="auto" w:fill="B2EEDE"/>
          </w:tcPr>
          <w:p>
            <w:pPr>
              <w:spacing w:after="0"/>
              <w:rPr>
                <w:sz w:val="15"/>
                <w:szCs w:val="15"/>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of Unearned</w:t>
            </w:r>
          </w:p>
        </w:tc>
        <w:tc>
          <w:tcPr>
            <w:tcW w:w="120" w:type="dxa"/>
            <w:vAlign w:val="bottom"/>
            <w:shd w:val="clear" w:color="auto" w:fill="B2EEDE"/>
          </w:tcPr>
          <w:p>
            <w:pPr>
              <w:spacing w:after="0"/>
              <w:rPr>
                <w:sz w:val="15"/>
                <w:szCs w:val="15"/>
                <w:color w:val="auto"/>
              </w:rPr>
            </w:pPr>
          </w:p>
        </w:tc>
      </w:tr>
      <w:tr>
        <w:trPr>
          <w:trHeight w:val="189"/>
        </w:trPr>
        <w:tc>
          <w:tcPr>
            <w:tcW w:w="2940" w:type="dxa"/>
            <w:vAlign w:val="bottom"/>
            <w:shd w:val="clear" w:color="auto" w:fill="B2EEDE"/>
          </w:tcPr>
          <w:p>
            <w:pPr>
              <w:spacing w:after="0"/>
              <w:rPr>
                <w:sz w:val="16"/>
                <w:szCs w:val="16"/>
                <w:color w:val="auto"/>
              </w:rPr>
            </w:pPr>
          </w:p>
        </w:tc>
        <w:tc>
          <w:tcPr>
            <w:tcW w:w="1500" w:type="dxa"/>
            <w:vAlign w:val="bottom"/>
            <w:shd w:val="clear" w:color="auto" w:fill="B2EEDE"/>
          </w:tcPr>
          <w:p>
            <w:pPr>
              <w:spacing w:after="0"/>
              <w:rPr>
                <w:sz w:val="16"/>
                <w:szCs w:val="16"/>
                <w:color w:val="auto"/>
              </w:rPr>
            </w:pPr>
          </w:p>
        </w:tc>
        <w:tc>
          <w:tcPr>
            <w:tcW w:w="7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Units of</w:t>
            </w:r>
          </w:p>
        </w:tc>
        <w:tc>
          <w:tcPr>
            <w:tcW w:w="240" w:type="dxa"/>
            <w:vAlign w:val="bottom"/>
            <w:shd w:val="clear" w:color="auto" w:fill="B2EEDE"/>
          </w:tcPr>
          <w:p>
            <w:pPr>
              <w:spacing w:after="0"/>
              <w:rPr>
                <w:sz w:val="16"/>
                <w:szCs w:val="16"/>
                <w:color w:val="auto"/>
              </w:rPr>
            </w:pPr>
          </w:p>
        </w:tc>
        <w:tc>
          <w:tcPr>
            <w:tcW w:w="9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of Shares or</w:t>
            </w:r>
          </w:p>
        </w:tc>
        <w:tc>
          <w:tcPr>
            <w:tcW w:w="240" w:type="dxa"/>
            <w:vAlign w:val="bottom"/>
            <w:shd w:val="clear" w:color="auto" w:fill="B2EEDE"/>
          </w:tcPr>
          <w:p>
            <w:pPr>
              <w:spacing w:after="0"/>
              <w:rPr>
                <w:sz w:val="16"/>
                <w:szCs w:val="16"/>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Unearned Shares,</w:t>
            </w:r>
          </w:p>
        </w:tc>
        <w:tc>
          <w:tcPr>
            <w:tcW w:w="260" w:type="dxa"/>
            <w:vAlign w:val="bottom"/>
            <w:shd w:val="clear" w:color="auto" w:fill="B2EEDE"/>
          </w:tcPr>
          <w:p>
            <w:pPr>
              <w:spacing w:after="0"/>
              <w:rPr>
                <w:sz w:val="16"/>
                <w:szCs w:val="16"/>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Shares, Units or</w:t>
            </w:r>
          </w:p>
        </w:tc>
        <w:tc>
          <w:tcPr>
            <w:tcW w:w="120" w:type="dxa"/>
            <w:vAlign w:val="bottom"/>
            <w:shd w:val="clear" w:color="auto" w:fill="B2EEDE"/>
          </w:tcPr>
          <w:p>
            <w:pPr>
              <w:spacing w:after="0"/>
              <w:rPr>
                <w:sz w:val="16"/>
                <w:szCs w:val="16"/>
                <w:color w:val="auto"/>
              </w:rPr>
            </w:pPr>
          </w:p>
        </w:tc>
      </w:tr>
      <w:tr>
        <w:trPr>
          <w:trHeight w:val="176"/>
        </w:trPr>
        <w:tc>
          <w:tcPr>
            <w:tcW w:w="2940" w:type="dxa"/>
            <w:vAlign w:val="bottom"/>
            <w:shd w:val="clear" w:color="auto" w:fill="B2EEDE"/>
          </w:tcPr>
          <w:p>
            <w:pPr>
              <w:spacing w:after="0"/>
              <w:rPr>
                <w:sz w:val="15"/>
                <w:szCs w:val="15"/>
                <w:color w:val="auto"/>
              </w:rPr>
            </w:pPr>
          </w:p>
        </w:tc>
        <w:tc>
          <w:tcPr>
            <w:tcW w:w="1500" w:type="dxa"/>
            <w:vAlign w:val="bottom"/>
            <w:shd w:val="clear" w:color="auto" w:fill="B2EEDE"/>
          </w:tcPr>
          <w:p>
            <w:pPr>
              <w:spacing w:after="0"/>
              <w:rPr>
                <w:sz w:val="15"/>
                <w:szCs w:val="15"/>
                <w:color w:val="auto"/>
              </w:rPr>
            </w:pPr>
          </w:p>
        </w:tc>
        <w:tc>
          <w:tcPr>
            <w:tcW w:w="7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Stock That</w:t>
            </w:r>
          </w:p>
        </w:tc>
        <w:tc>
          <w:tcPr>
            <w:tcW w:w="240" w:type="dxa"/>
            <w:vAlign w:val="bottom"/>
            <w:shd w:val="clear" w:color="auto" w:fill="B2EEDE"/>
          </w:tcPr>
          <w:p>
            <w:pPr>
              <w:spacing w:after="0"/>
              <w:rPr>
                <w:sz w:val="15"/>
                <w:szCs w:val="15"/>
                <w:color w:val="auto"/>
              </w:rPr>
            </w:pPr>
          </w:p>
        </w:tc>
        <w:tc>
          <w:tcPr>
            <w:tcW w:w="9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Units of Stock</w:t>
            </w:r>
          </w:p>
        </w:tc>
        <w:tc>
          <w:tcPr>
            <w:tcW w:w="240" w:type="dxa"/>
            <w:vAlign w:val="bottom"/>
            <w:shd w:val="clear" w:color="auto" w:fill="B2EEDE"/>
          </w:tcPr>
          <w:p>
            <w:pPr>
              <w:spacing w:after="0"/>
              <w:rPr>
                <w:sz w:val="15"/>
                <w:szCs w:val="15"/>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Units or Other</w:t>
            </w:r>
          </w:p>
        </w:tc>
        <w:tc>
          <w:tcPr>
            <w:tcW w:w="260" w:type="dxa"/>
            <w:vAlign w:val="bottom"/>
            <w:shd w:val="clear" w:color="auto" w:fill="B2EEDE"/>
          </w:tcPr>
          <w:p>
            <w:pPr>
              <w:spacing w:after="0"/>
              <w:rPr>
                <w:sz w:val="15"/>
                <w:szCs w:val="15"/>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Other Rights</w:t>
            </w:r>
          </w:p>
        </w:tc>
        <w:tc>
          <w:tcPr>
            <w:tcW w:w="120" w:type="dxa"/>
            <w:vAlign w:val="bottom"/>
            <w:shd w:val="clear" w:color="auto" w:fill="B2EEDE"/>
          </w:tcPr>
          <w:p>
            <w:pPr>
              <w:spacing w:after="0"/>
              <w:rPr>
                <w:sz w:val="15"/>
                <w:szCs w:val="15"/>
                <w:color w:val="auto"/>
              </w:rPr>
            </w:pPr>
          </w:p>
        </w:tc>
      </w:tr>
      <w:tr>
        <w:trPr>
          <w:trHeight w:val="175"/>
        </w:trPr>
        <w:tc>
          <w:tcPr>
            <w:tcW w:w="2940" w:type="dxa"/>
            <w:vAlign w:val="bottom"/>
            <w:shd w:val="clear" w:color="auto" w:fill="B2EEDE"/>
          </w:tcPr>
          <w:p>
            <w:pPr>
              <w:spacing w:after="0"/>
              <w:rPr>
                <w:sz w:val="15"/>
                <w:szCs w:val="15"/>
                <w:color w:val="auto"/>
              </w:rPr>
            </w:pPr>
          </w:p>
        </w:tc>
        <w:tc>
          <w:tcPr>
            <w:tcW w:w="1500" w:type="dxa"/>
            <w:vAlign w:val="bottom"/>
            <w:shd w:val="clear" w:color="auto" w:fill="B2EEDE"/>
          </w:tcPr>
          <w:p>
            <w:pPr>
              <w:spacing w:after="0"/>
              <w:rPr>
                <w:sz w:val="15"/>
                <w:szCs w:val="15"/>
                <w:color w:val="auto"/>
              </w:rPr>
            </w:pPr>
          </w:p>
        </w:tc>
        <w:tc>
          <w:tcPr>
            <w:tcW w:w="7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Have Not</w:t>
            </w:r>
          </w:p>
        </w:tc>
        <w:tc>
          <w:tcPr>
            <w:tcW w:w="240" w:type="dxa"/>
            <w:vAlign w:val="bottom"/>
            <w:shd w:val="clear" w:color="auto" w:fill="B2EEDE"/>
          </w:tcPr>
          <w:p>
            <w:pPr>
              <w:spacing w:after="0"/>
              <w:rPr>
                <w:sz w:val="15"/>
                <w:szCs w:val="15"/>
                <w:color w:val="auto"/>
              </w:rPr>
            </w:pPr>
          </w:p>
        </w:tc>
        <w:tc>
          <w:tcPr>
            <w:tcW w:w="9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That Have Not</w:t>
            </w:r>
          </w:p>
        </w:tc>
        <w:tc>
          <w:tcPr>
            <w:tcW w:w="240" w:type="dxa"/>
            <w:vAlign w:val="bottom"/>
            <w:shd w:val="clear" w:color="auto" w:fill="B2EEDE"/>
          </w:tcPr>
          <w:p>
            <w:pPr>
              <w:spacing w:after="0"/>
              <w:rPr>
                <w:sz w:val="15"/>
                <w:szCs w:val="15"/>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Rights That Have</w:t>
            </w:r>
          </w:p>
        </w:tc>
        <w:tc>
          <w:tcPr>
            <w:tcW w:w="260" w:type="dxa"/>
            <w:vAlign w:val="bottom"/>
            <w:shd w:val="clear" w:color="auto" w:fill="B2EEDE"/>
          </w:tcPr>
          <w:p>
            <w:pPr>
              <w:spacing w:after="0"/>
              <w:rPr>
                <w:sz w:val="15"/>
                <w:szCs w:val="15"/>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That Have</w:t>
            </w:r>
          </w:p>
        </w:tc>
        <w:tc>
          <w:tcPr>
            <w:tcW w:w="120" w:type="dxa"/>
            <w:vAlign w:val="bottom"/>
            <w:shd w:val="clear" w:color="auto" w:fill="B2EEDE"/>
          </w:tcPr>
          <w:p>
            <w:pPr>
              <w:spacing w:after="0"/>
              <w:rPr>
                <w:sz w:val="15"/>
                <w:szCs w:val="15"/>
                <w:color w:val="auto"/>
              </w:rPr>
            </w:pPr>
          </w:p>
        </w:tc>
      </w:tr>
      <w:tr>
        <w:trPr>
          <w:trHeight w:val="189"/>
        </w:trPr>
        <w:tc>
          <w:tcPr>
            <w:tcW w:w="2940" w:type="dxa"/>
            <w:vAlign w:val="bottom"/>
            <w:shd w:val="clear" w:color="auto" w:fill="B2EEDE"/>
          </w:tcPr>
          <w:p>
            <w:pPr>
              <w:spacing w:after="0"/>
              <w:rPr>
                <w:sz w:val="16"/>
                <w:szCs w:val="16"/>
                <w:color w:val="auto"/>
              </w:rPr>
            </w:pPr>
          </w:p>
        </w:tc>
        <w:tc>
          <w:tcPr>
            <w:tcW w:w="1500" w:type="dxa"/>
            <w:vAlign w:val="bottom"/>
            <w:shd w:val="clear" w:color="auto" w:fill="B2EEDE"/>
          </w:tcPr>
          <w:p>
            <w:pPr>
              <w:spacing w:after="0"/>
              <w:rPr>
                <w:sz w:val="16"/>
                <w:szCs w:val="16"/>
                <w:color w:val="auto"/>
              </w:rPr>
            </w:pPr>
          </w:p>
        </w:tc>
        <w:tc>
          <w:tcPr>
            <w:tcW w:w="140" w:type="dxa"/>
            <w:vAlign w:val="bottom"/>
            <w:shd w:val="clear" w:color="auto" w:fill="B2EEDE"/>
          </w:tcPr>
          <w:p>
            <w:pPr>
              <w:spacing w:after="0"/>
              <w:rPr>
                <w:sz w:val="16"/>
                <w:szCs w:val="16"/>
                <w:color w:val="auto"/>
              </w:rPr>
            </w:pPr>
          </w:p>
        </w:tc>
        <w:tc>
          <w:tcPr>
            <w:tcW w:w="620" w:type="dxa"/>
            <w:vAlign w:val="bottom"/>
            <w:shd w:val="clear" w:color="auto" w:fill="B2EEDE"/>
          </w:tcPr>
          <w:p>
            <w:pPr>
              <w:jc w:val="center"/>
              <w:ind w:right="87"/>
              <w:spacing w:after="0"/>
              <w:rPr>
                <w:sz w:val="20"/>
                <w:szCs w:val="20"/>
                <w:color w:val="auto"/>
              </w:rPr>
            </w:pPr>
            <w:r>
              <w:rPr>
                <w:rFonts w:ascii="Arial" w:cs="Arial" w:eastAsia="Arial" w:hAnsi="Arial"/>
                <w:sz w:val="14"/>
                <w:szCs w:val="14"/>
                <w:b w:val="1"/>
                <w:bCs w:val="1"/>
                <w:color w:val="auto"/>
              </w:rPr>
              <w:t>Vested</w:t>
            </w:r>
          </w:p>
        </w:tc>
        <w:tc>
          <w:tcPr>
            <w:tcW w:w="240" w:type="dxa"/>
            <w:vAlign w:val="bottom"/>
            <w:shd w:val="clear" w:color="auto" w:fill="B2EEDE"/>
          </w:tcPr>
          <w:p>
            <w:pPr>
              <w:spacing w:after="0"/>
              <w:rPr>
                <w:sz w:val="16"/>
                <w:szCs w:val="16"/>
                <w:color w:val="auto"/>
              </w:rPr>
            </w:pPr>
          </w:p>
        </w:tc>
        <w:tc>
          <w:tcPr>
            <w:tcW w:w="9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Vested</w:t>
            </w:r>
          </w:p>
        </w:tc>
        <w:tc>
          <w:tcPr>
            <w:tcW w:w="240" w:type="dxa"/>
            <w:vAlign w:val="bottom"/>
            <w:shd w:val="clear" w:color="auto" w:fill="B2EEDE"/>
          </w:tcPr>
          <w:p>
            <w:pPr>
              <w:spacing w:after="0"/>
              <w:rPr>
                <w:sz w:val="16"/>
                <w:szCs w:val="16"/>
                <w:color w:val="auto"/>
              </w:rPr>
            </w:pPr>
          </w:p>
        </w:tc>
        <w:tc>
          <w:tcPr>
            <w:tcW w:w="12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Not Vested</w:t>
            </w:r>
          </w:p>
        </w:tc>
        <w:tc>
          <w:tcPr>
            <w:tcW w:w="260" w:type="dxa"/>
            <w:vAlign w:val="bottom"/>
            <w:shd w:val="clear" w:color="auto" w:fill="B2EEDE"/>
          </w:tcPr>
          <w:p>
            <w:pPr>
              <w:spacing w:after="0"/>
              <w:rPr>
                <w:sz w:val="16"/>
                <w:szCs w:val="16"/>
                <w:color w:val="auto"/>
              </w:rPr>
            </w:pPr>
          </w:p>
        </w:tc>
        <w:tc>
          <w:tcPr>
            <w:tcW w:w="11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Not Vested</w:t>
            </w:r>
          </w:p>
        </w:tc>
        <w:tc>
          <w:tcPr>
            <w:tcW w:w="120" w:type="dxa"/>
            <w:vAlign w:val="bottom"/>
            <w:shd w:val="clear" w:color="auto" w:fill="B2EEDE"/>
          </w:tcPr>
          <w:p>
            <w:pPr>
              <w:spacing w:after="0"/>
              <w:rPr>
                <w:sz w:val="16"/>
                <w:szCs w:val="16"/>
                <w:color w:val="auto"/>
              </w:rPr>
            </w:pPr>
          </w:p>
        </w:tc>
      </w:tr>
      <w:tr>
        <w:trPr>
          <w:trHeight w:val="212"/>
        </w:trPr>
        <w:tc>
          <w:tcPr>
            <w:tcW w:w="2940" w:type="dxa"/>
            <w:vAlign w:val="bottom"/>
            <w:tcBorders>
              <w:bottom w:val="single" w:sz="8" w:color="auto"/>
            </w:tcBorders>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Name</w:t>
            </w:r>
          </w:p>
        </w:tc>
        <w:tc>
          <w:tcPr>
            <w:tcW w:w="1500" w:type="dxa"/>
            <w:vAlign w:val="bottom"/>
            <w:tcBorders>
              <w:bottom w:val="single" w:sz="8" w:color="auto"/>
            </w:tcBorders>
            <w:shd w:val="clear" w:color="auto" w:fill="B2EEDE"/>
          </w:tcPr>
          <w:p>
            <w:pPr>
              <w:ind w:left="1340"/>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shd w:val="clear" w:color="auto" w:fill="B2EEDE"/>
          </w:tcPr>
          <w:p>
            <w:pPr>
              <w:spacing w:after="0"/>
              <w:rPr>
                <w:sz w:val="18"/>
                <w:szCs w:val="18"/>
                <w:color w:val="auto"/>
              </w:rPr>
            </w:pPr>
          </w:p>
        </w:tc>
        <w:tc>
          <w:tcPr>
            <w:tcW w:w="620" w:type="dxa"/>
            <w:vAlign w:val="bottom"/>
            <w:tcBorders>
              <w:bottom w:val="single" w:sz="8" w:color="auto"/>
            </w:tcBorders>
            <w:shd w:val="clear" w:color="auto" w:fill="B2EEDE"/>
          </w:tcPr>
          <w:p>
            <w:pPr>
              <w:jc w:val="center"/>
              <w:ind w:right="47"/>
              <w:spacing w:after="0" w:line="212" w:lineRule="exact"/>
              <w:rPr>
                <w:sz w:val="20"/>
                <w:szCs w:val="20"/>
                <w:color w:val="auto"/>
              </w:rPr>
            </w:pPr>
            <w:r>
              <w:rPr>
                <w:rFonts w:ascii="Arial" w:cs="Arial" w:eastAsia="Arial" w:hAnsi="Arial"/>
                <w:sz w:val="24"/>
                <w:szCs w:val="24"/>
                <w:b w:val="1"/>
                <w:bCs w:val="1"/>
                <w:color w:val="auto"/>
                <w:w w:val="97"/>
                <w:vertAlign w:val="subscript"/>
              </w:rPr>
              <w:t>(#)</w:t>
            </w:r>
            <w:r>
              <w:rPr>
                <w:rFonts w:ascii="Arial" w:cs="Arial" w:eastAsia="Arial" w:hAnsi="Arial"/>
                <w:sz w:val="8"/>
                <w:szCs w:val="8"/>
                <w:b w:val="1"/>
                <w:bCs w:val="1"/>
                <w:color w:val="auto"/>
                <w:w w:val="97"/>
              </w:rPr>
              <w:t>(1)(2)</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98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124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112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294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Sigurdur O. Olafsson</w:t>
            </w:r>
          </w:p>
        </w:tc>
        <w:tc>
          <w:tcPr>
            <w:tcW w:w="2500" w:type="dxa"/>
            <w:vAlign w:val="bottom"/>
            <w:tcBorders>
              <w:bottom w:val="single" w:sz="8" w:color="auto"/>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r>
              <w:rPr>
                <w:rFonts w:ascii="Arial" w:cs="Arial" w:eastAsia="Arial" w:hAnsi="Arial"/>
                <w:sz w:val="15"/>
                <w:szCs w:val="15"/>
                <w:color w:val="auto"/>
              </w:rPr>
              <w:t xml:space="preserve">341,154 </w:t>
            </w:r>
            <w:r>
              <w:rPr>
                <w:rFonts w:ascii="Arial" w:cs="Arial" w:eastAsia="Arial" w:hAnsi="Arial"/>
                <w:sz w:val="28"/>
                <w:szCs w:val="28"/>
                <w:color w:val="auto"/>
                <w:vertAlign w:val="subscript"/>
              </w:rPr>
              <w:t>​​ ​</w:t>
            </w:r>
          </w:p>
        </w:tc>
        <w:tc>
          <w:tcPr>
            <w:tcW w:w="9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​25,688,896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11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94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Christiana Stamoulis</w:t>
            </w:r>
          </w:p>
        </w:tc>
        <w:tc>
          <w:tcPr>
            <w:tcW w:w="1500" w:type="dxa"/>
            <w:vAlign w:val="bottom"/>
            <w:tcBorders>
              <w:bottom w:val="single" w:sz="8" w:color="auto"/>
            </w:tcBorders>
            <w:shd w:val="clear" w:color="auto" w:fill="E5E5E5"/>
          </w:tcPr>
          <w:p>
            <w:pPr>
              <w:ind w:left="134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5E5E5"/>
          </w:tcPr>
          <w:p>
            <w:pPr>
              <w:jc w:val="right"/>
              <w:ind w:right="7"/>
              <w:spacing w:after="0"/>
              <w:rPr>
                <w:sz w:val="20"/>
                <w:szCs w:val="20"/>
                <w:color w:val="auto"/>
              </w:rPr>
            </w:pPr>
            <w:r>
              <w:rPr>
                <w:rFonts w:ascii="Arial" w:cs="Arial" w:eastAsia="Arial" w:hAnsi="Arial"/>
                <w:sz w:val="16"/>
                <w:szCs w:val="16"/>
                <w:color w:val="auto"/>
              </w:rPr>
              <w:t>72,919</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5,490,801</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112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94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Henriette Nielsen</w:t>
            </w:r>
          </w:p>
        </w:tc>
        <w:tc>
          <w:tcPr>
            <w:tcW w:w="150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52,607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3,961,307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11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94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Lisa French</w:t>
            </w:r>
          </w:p>
        </w:tc>
        <w:tc>
          <w:tcPr>
            <w:tcW w:w="1500" w:type="dxa"/>
            <w:vAlign w:val="bottom"/>
            <w:tcBorders>
              <w:bottom w:val="single" w:sz="8" w:color="auto"/>
            </w:tcBorders>
            <w:shd w:val="clear" w:color="auto" w:fill="E5E5E5"/>
          </w:tcPr>
          <w:p>
            <w:pPr>
              <w:ind w:left="134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5E5E5"/>
          </w:tcPr>
          <w:p>
            <w:pPr>
              <w:jc w:val="right"/>
              <w:ind w:right="7"/>
              <w:spacing w:after="0"/>
              <w:rPr>
                <w:sz w:val="20"/>
                <w:szCs w:val="20"/>
                <w:color w:val="auto"/>
              </w:rPr>
            </w:pPr>
            <w:r>
              <w:rPr>
                <w:rFonts w:ascii="Arial" w:cs="Arial" w:eastAsia="Arial" w:hAnsi="Arial"/>
                <w:sz w:val="16"/>
                <w:szCs w:val="16"/>
                <w:color w:val="auto"/>
              </w:rPr>
              <w:t>52,607</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3,961,307</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112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​Mark A. Tyndall</w:t>
            </w:r>
          </w:p>
        </w:tc>
        <w:tc>
          <w:tcPr>
            <w:tcW w:w="150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52,607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3,961,307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bl>
    <w:p>
      <w:pPr>
        <w:spacing w:after="0" w:line="163" w:lineRule="exact"/>
        <w:rPr>
          <w:sz w:val="20"/>
          <w:szCs w:val="20"/>
          <w:color w:val="auto"/>
        </w:rPr>
      </w:pPr>
    </w:p>
    <w:p>
      <w:pPr>
        <w:ind w:left="1040" w:hanging="368"/>
        <w:spacing w:after="0"/>
        <w:tabs>
          <w:tab w:leader="none" w:pos="10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table below provides further detail on the RSUs included in this column.</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97"/>
        </w:trPr>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800" w:type="dxa"/>
            <w:vAlign w:val="bottom"/>
            <w:gridSpan w:val="2"/>
          </w:tcPr>
          <w:p>
            <w:pPr>
              <w:ind w:left="1240"/>
              <w:spacing w:after="0"/>
              <w:rPr>
                <w:sz w:val="20"/>
                <w:szCs w:val="20"/>
                <w:color w:val="auto"/>
              </w:rPr>
            </w:pPr>
            <w:r>
              <w:rPr>
                <w:rFonts w:ascii="Arial" w:cs="Arial" w:eastAsia="Arial" w:hAnsi="Arial"/>
                <w:sz w:val="16"/>
                <w:szCs w:val="16"/>
                <w:b w:val="1"/>
                <w:bCs w:val="1"/>
                <w:color w:val="auto"/>
              </w:rPr>
              <w:t>​ ​ ​</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8CE5CE"/>
          </w:tcPr>
          <w:p>
            <w:pPr>
              <w:ind w:left="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8CE5CE"/>
          </w:tcPr>
          <w:p>
            <w:pPr>
              <w:spacing w:after="0"/>
              <w:rPr>
                <w:sz w:val="24"/>
                <w:szCs w:val="24"/>
                <w:color w:val="auto"/>
              </w:rPr>
            </w:pPr>
          </w:p>
        </w:tc>
        <w:tc>
          <w:tcPr>
            <w:tcW w:w="3740" w:type="dxa"/>
            <w:vAlign w:val="bottom"/>
            <w:gridSpan w:val="16"/>
            <w:shd w:val="clear" w:color="auto" w:fill="8CE5CE"/>
          </w:tcPr>
          <w:p>
            <w:pPr>
              <w:ind w:left="100"/>
              <w:spacing w:after="0"/>
              <w:rPr>
                <w:sz w:val="20"/>
                <w:szCs w:val="20"/>
                <w:color w:val="auto"/>
              </w:rPr>
            </w:pPr>
            <w:r>
              <w:rPr>
                <w:rFonts w:ascii="Arial" w:cs="Arial" w:eastAsia="Arial" w:hAnsi="Arial"/>
                <w:sz w:val="16"/>
                <w:szCs w:val="16"/>
                <w:b w:val="1"/>
                <w:bCs w:val="1"/>
                <w:color w:val="auto"/>
                <w:w w:val="99"/>
              </w:rPr>
              <w:t>Outstanding Quantity (#) Scheduled to Vest On:</w:t>
            </w:r>
          </w:p>
        </w:tc>
        <w:tc>
          <w:tcPr>
            <w:tcW w:w="220" w:type="dxa"/>
            <w:vAlign w:val="bottom"/>
            <w:shd w:val="clear" w:color="auto" w:fill="8CE5CE"/>
          </w:tcPr>
          <w:p>
            <w:pPr>
              <w:spacing w:after="0"/>
              <w:rPr>
                <w:sz w:val="24"/>
                <w:szCs w:val="24"/>
                <w:color w:val="auto"/>
              </w:rPr>
            </w:pPr>
          </w:p>
        </w:tc>
        <w:tc>
          <w:tcPr>
            <w:tcW w:w="180" w:type="dxa"/>
            <w:vAlign w:val="bottom"/>
            <w:shd w:val="clear" w:color="auto" w:fill="8CE5CE"/>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2680" w:type="dxa"/>
            <w:vAlign w:val="bottom"/>
            <w:tcBorders>
              <w:bottom w:val="single" w:sz="8" w:color="auto"/>
            </w:tcBorders>
            <w:shd w:val="clear" w:color="auto" w:fill="B2EEDE"/>
          </w:tcPr>
          <w:p>
            <w:pPr>
              <w:ind w:left="6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Name</w:t>
            </w:r>
          </w:p>
        </w:tc>
        <w:tc>
          <w:tcPr>
            <w:tcW w:w="2260" w:type="dxa"/>
            <w:vAlign w:val="bottom"/>
            <w:tcBorders>
              <w:bottom w:val="single" w:sz="8" w:color="auto"/>
            </w:tcBorders>
            <w:gridSpan w:val="3"/>
            <w:shd w:val="clear" w:color="auto" w:fill="B2EEDE"/>
          </w:tcPr>
          <w:p>
            <w:pPr>
              <w:ind w:left="1240"/>
              <w:spacing w:after="0" w:line="243"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Grant Date </w:t>
            </w:r>
            <w:r>
              <w:rPr>
                <w:rFonts w:ascii="Arial" w:cs="Arial" w:eastAsia="Arial" w:hAnsi="Arial"/>
                <w:sz w:val="28"/>
                <w:szCs w:val="28"/>
                <w:b w:val="1"/>
                <w:bCs w:val="1"/>
                <w:color w:val="auto"/>
                <w:vertAlign w:val="subscript"/>
              </w:rPr>
              <w:t>​</w:t>
            </w:r>
          </w:p>
        </w:tc>
        <w:tc>
          <w:tcPr>
            <w:tcW w:w="820" w:type="dxa"/>
            <w:vAlign w:val="bottom"/>
            <w:tcBorders>
              <w:bottom w:val="single" w:sz="8" w:color="auto"/>
            </w:tcBorders>
            <w:gridSpan w:val="4"/>
            <w:shd w:val="clear" w:color="auto" w:fill="B2EEDE"/>
          </w:tcPr>
          <w:p>
            <w:pPr>
              <w:ind w:left="6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1/1/2026 </w:t>
            </w:r>
            <w:r>
              <w:rPr>
                <w:rFonts w:ascii="Arial" w:cs="Arial" w:eastAsia="Arial" w:hAnsi="Arial"/>
                <w:sz w:val="28"/>
                <w:szCs w:val="28"/>
                <w:b w:val="1"/>
                <w:bCs w:val="1"/>
                <w:color w:val="auto"/>
                <w:vertAlign w:val="subscript"/>
              </w:rPr>
              <w:t>​</w:t>
            </w:r>
          </w:p>
        </w:tc>
        <w:tc>
          <w:tcPr>
            <w:tcW w:w="960" w:type="dxa"/>
            <w:vAlign w:val="bottom"/>
            <w:tcBorders>
              <w:bottom w:val="single" w:sz="8" w:color="auto"/>
            </w:tcBorders>
            <w:gridSpan w:val="4"/>
            <w:shd w:val="clear" w:color="auto" w:fill="B2EEDE"/>
          </w:tcPr>
          <w:p>
            <w:pPr>
              <w:jc w:val="right"/>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12/15/2026 </w:t>
            </w:r>
            <w:r>
              <w:rPr>
                <w:rFonts w:ascii="Arial" w:cs="Arial" w:eastAsia="Arial" w:hAnsi="Arial"/>
                <w:sz w:val="28"/>
                <w:szCs w:val="28"/>
                <w:b w:val="1"/>
                <w:bCs w:val="1"/>
                <w:color w:val="auto"/>
                <w:vertAlign w:val="subscript"/>
              </w:rPr>
              <w:t>​</w:t>
            </w:r>
          </w:p>
        </w:tc>
        <w:tc>
          <w:tcPr>
            <w:tcW w:w="960" w:type="dxa"/>
            <w:vAlign w:val="bottom"/>
            <w:tcBorders>
              <w:bottom w:val="single" w:sz="8" w:color="auto"/>
            </w:tcBorders>
            <w:gridSpan w:val="4"/>
            <w:shd w:val="clear" w:color="auto" w:fill="B2EEDE"/>
          </w:tcPr>
          <w:p>
            <w:pPr>
              <w:jc w:val="right"/>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12/25/2026 </w:t>
            </w:r>
            <w:r>
              <w:rPr>
                <w:rFonts w:ascii="Arial" w:cs="Arial" w:eastAsia="Arial" w:hAnsi="Arial"/>
                <w:sz w:val="28"/>
                <w:szCs w:val="28"/>
                <w:b w:val="1"/>
                <w:bCs w:val="1"/>
                <w:color w:val="auto"/>
                <w:vertAlign w:val="subscript"/>
              </w:rPr>
              <w:t>​</w:t>
            </w:r>
          </w:p>
        </w:tc>
        <w:tc>
          <w:tcPr>
            <w:tcW w:w="780" w:type="dxa"/>
            <w:vAlign w:val="bottom"/>
            <w:tcBorders>
              <w:bottom w:val="single" w:sz="8" w:color="auto"/>
            </w:tcBorders>
            <w:gridSpan w:val="4"/>
            <w:shd w:val="clear" w:color="auto" w:fill="B2EEDE"/>
          </w:tcPr>
          <w:p>
            <w:pPr>
              <w:jc w:val="right"/>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1/1/2027 </w:t>
            </w:r>
            <w:r>
              <w:rPr>
                <w:rFonts w:ascii="Arial" w:cs="Arial" w:eastAsia="Arial" w:hAnsi="Arial"/>
                <w:sz w:val="28"/>
                <w:szCs w:val="28"/>
                <w:b w:val="1"/>
                <w:bCs w:val="1"/>
                <w:color w:val="auto"/>
                <w:vertAlign w:val="subscript"/>
              </w:rPr>
              <w:t>​</w:t>
            </w:r>
          </w:p>
        </w:tc>
        <w:tc>
          <w:tcPr>
            <w:tcW w:w="940" w:type="dxa"/>
            <w:vAlign w:val="bottom"/>
            <w:tcBorders>
              <w:bottom w:val="single" w:sz="8" w:color="auto"/>
            </w:tcBorders>
            <w:gridSpan w:val="4"/>
            <w:shd w:val="clear" w:color="auto" w:fill="B2EEDE"/>
          </w:tcPr>
          <w:p>
            <w:pPr>
              <w:jc w:val="right"/>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12/15/2027 </w:t>
            </w:r>
            <w:r>
              <w:rPr>
                <w:rFonts w:ascii="Arial" w:cs="Arial" w:eastAsia="Arial" w:hAnsi="Arial"/>
                <w:sz w:val="28"/>
                <w:szCs w:val="28"/>
                <w:b w:val="1"/>
                <w:bCs w:val="1"/>
                <w:color w:val="auto"/>
                <w:vertAlign w:val="subscript"/>
              </w:rPr>
              <w:t>​</w:t>
            </w:r>
          </w:p>
        </w:tc>
      </w:tr>
      <w:tr>
        <w:trPr>
          <w:trHeight w:val="277"/>
        </w:trPr>
        <w:tc>
          <w:tcPr>
            <w:tcW w:w="2680" w:type="dxa"/>
            <w:vAlign w:val="bottom"/>
          </w:tcPr>
          <w:p>
            <w:pPr>
              <w:ind w:left="60"/>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Sigurdur O. Olafsson</w:t>
            </w:r>
          </w:p>
        </w:tc>
        <w:tc>
          <w:tcPr>
            <w:tcW w:w="2260" w:type="dxa"/>
            <w:vAlign w:val="bottom"/>
            <w:gridSpan w:val="3"/>
          </w:tcPr>
          <w:p>
            <w:pPr>
              <w:jc w:val="right"/>
              <w:spacing w:after="0" w:line="277" w:lineRule="exact"/>
              <w:rPr>
                <w:sz w:val="20"/>
                <w:szCs w:val="20"/>
                <w:color w:val="auto"/>
              </w:rPr>
            </w:pPr>
            <w:r>
              <w:rPr>
                <w:rFonts w:ascii="Arial" w:cs="Arial" w:eastAsia="Arial" w:hAnsi="Arial"/>
                <w:sz w:val="28"/>
                <w:szCs w:val="28"/>
                <w:color w:val="auto"/>
                <w:vertAlign w:val="superscript"/>
              </w:rPr>
              <w:t>​ ​ ​</w:t>
            </w:r>
            <w:r>
              <w:rPr>
                <w:rFonts w:ascii="Arial" w:cs="Arial" w:eastAsia="Arial" w:hAnsi="Arial"/>
                <w:sz w:val="14"/>
                <w:szCs w:val="14"/>
                <w:color w:val="auto"/>
              </w:rPr>
              <w:t xml:space="preserve">​ 2/2/2024 </w:t>
            </w:r>
            <w:r>
              <w:rPr>
                <w:rFonts w:ascii="Arial" w:cs="Arial" w:eastAsia="Arial" w:hAnsi="Arial"/>
                <w:sz w:val="28"/>
                <w:szCs w:val="28"/>
                <w:color w:val="auto"/>
                <w:vertAlign w:val="superscript"/>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​32,878 </w:t>
            </w:r>
            <w:r>
              <w:rPr>
                <w:rFonts w:ascii="Arial" w:cs="Arial" w:eastAsia="Arial" w:hAnsi="Arial"/>
                <w:sz w:val="28"/>
                <w:szCs w:val="28"/>
                <w:color w:val="auto"/>
                <w:vertAlign w:val="superscript"/>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ind w:left="8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​197,270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​32,879 </w:t>
            </w:r>
            <w:r>
              <w:rPr>
                <w:rFonts w:ascii="Arial" w:cs="Arial" w:eastAsia="Arial" w:hAnsi="Arial"/>
                <w:sz w:val="28"/>
                <w:szCs w:val="28"/>
                <w:color w:val="auto"/>
                <w:vertAlign w:val="superscript"/>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ind w:left="8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26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980" w:type="dxa"/>
            <w:vAlign w:val="bottom"/>
            <w:tcBorders>
              <w:top w:val="single" w:sz="8" w:color="7F7F7F"/>
              <w:bottom w:val="single" w:sz="8" w:color="auto"/>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​8/14/2025 </w:t>
            </w:r>
            <w:r>
              <w:rPr>
                <w:rFonts w:ascii="Arial" w:cs="Arial" w:eastAsia="Arial" w:hAnsi="Arial"/>
                <w:sz w:val="28"/>
                <w:szCs w:val="28"/>
                <w:color w:val="auto"/>
                <w:vertAlign w:val="superscript"/>
              </w:rPr>
              <w:t>​​</w:t>
            </w:r>
          </w:p>
        </w:tc>
        <w:tc>
          <w:tcPr>
            <w:tcW w:w="140" w:type="dxa"/>
            <w:vAlign w:val="bottom"/>
            <w:tcBorders>
              <w:top w:val="single" w:sz="8" w:color="7F7F7F"/>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bottom w:val="single" w:sz="8" w:color="auto"/>
            </w:tcBorders>
          </w:tcPr>
          <w:p>
            <w:pPr>
              <w:ind w:left="4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500" w:type="dxa"/>
            <w:vAlign w:val="bottom"/>
            <w:tcBorders>
              <w:top w:val="single" w:sz="8" w:color="7F7F7F"/>
              <w:bottom w:val="single" w:sz="8" w:color="auto"/>
            </w:tcBorders>
            <w:gridSpan w:val="2"/>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40" w:type="dxa"/>
            <w:vAlign w:val="bottom"/>
            <w:tcBorders>
              <w:top w:val="single" w:sz="8" w:color="7F7F7F"/>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7F7F7F"/>
              <w:bottom w:val="single" w:sz="8" w:color="auto"/>
            </w:tcBorders>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60" w:type="dxa"/>
            <w:vAlign w:val="bottom"/>
            <w:tcBorders>
              <w:top w:val="single" w:sz="8" w:color="7F7F7F"/>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auto"/>
            </w:tcBorders>
          </w:tcPr>
          <w:p>
            <w:pPr>
              <w:ind w:left="6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6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7F7F7F"/>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7F7F7F"/>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​78,127 </w:t>
            </w:r>
            <w:r>
              <w:rPr>
                <w:rFonts w:ascii="Arial" w:cs="Arial" w:eastAsia="Arial" w:hAnsi="Arial"/>
                <w:sz w:val="28"/>
                <w:szCs w:val="28"/>
                <w:color w:val="auto"/>
                <w:vertAlign w:val="superscript"/>
              </w:rPr>
              <w:t>​​</w:t>
            </w:r>
          </w:p>
        </w:tc>
        <w:tc>
          <w:tcPr>
            <w:tcW w:w="160" w:type="dxa"/>
            <w:vAlign w:val="bottom"/>
            <w:tcBorders>
              <w:top w:val="single" w:sz="8" w:color="7F7F7F"/>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7F7F7F"/>
              <w:bottom w:val="single" w:sz="8" w:color="auto"/>
            </w:tcBorders>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22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268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Christiana Stamoulis</w:t>
            </w:r>
          </w:p>
        </w:tc>
        <w:tc>
          <w:tcPr>
            <w:tcW w:w="2260" w:type="dxa"/>
            <w:vAlign w:val="bottom"/>
            <w:tcBorders>
              <w:bottom w:val="single" w:sz="8" w:color="auto"/>
            </w:tcBorders>
            <w:gridSpan w:val="3"/>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rPr>
              <w:t>​ ​ ​</w:t>
            </w:r>
            <w:r>
              <w:rPr>
                <w:rFonts w:ascii="Arial" w:cs="Arial" w:eastAsia="Arial" w:hAnsi="Arial"/>
                <w:sz w:val="14"/>
                <w:szCs w:val="14"/>
                <w:color w:val="auto"/>
              </w:rPr>
              <w:t xml:space="preserve">​9/23/2025 </w:t>
            </w:r>
            <w:r>
              <w:rPr>
                <w:rFonts w:ascii="Arial" w:cs="Arial" w:eastAsia="Arial" w:hAnsi="Arial"/>
                <w:sz w:val="28"/>
                <w:szCs w:val="28"/>
                <w:color w:val="auto"/>
                <w:vertAlign w:val="superscript"/>
              </w:rPr>
              <w:t>​​</w:t>
            </w:r>
          </w:p>
        </w:tc>
        <w:tc>
          <w:tcPr>
            <w:tcW w:w="1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ind w:left="4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50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E5E5E5"/>
          </w:tcPr>
          <w:p>
            <w:pPr>
              <w:jc w:val="right"/>
              <w:ind w:right="8"/>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​36,459</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ind w:left="4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46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​36,460</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268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Henriette Nielsen</w:t>
            </w:r>
          </w:p>
        </w:tc>
        <w:tc>
          <w:tcPr>
            <w:tcW w:w="226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 ​</w:t>
            </w:r>
            <w:r>
              <w:rPr>
                <w:rFonts w:ascii="Arial" w:cs="Arial" w:eastAsia="Arial" w:hAnsi="Arial"/>
                <w:sz w:val="14"/>
                <w:szCs w:val="14"/>
                <w:color w:val="auto"/>
              </w:rPr>
              <w:t xml:space="preserve">​ 2/2/2024 </w:t>
            </w:r>
            <w:r>
              <w:rPr>
                <w:rFonts w:ascii="Arial" w:cs="Arial" w:eastAsia="Arial" w:hAnsi="Arial"/>
                <w:sz w:val="28"/>
                <w:szCs w:val="28"/>
                <w:color w:val="auto"/>
                <w:vertAlign w:val="superscript"/>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ind w:left="4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6,576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39,455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ind w:left="4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6,576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2680" w:type="dxa"/>
            <w:vAlign w:val="bottom"/>
            <w:tcBorders>
              <w:bottom w:val="single" w:sz="8" w:color="auto"/>
            </w:tcBorders>
            <w:shd w:val="clear" w:color="auto" w:fill="E5E5E5"/>
          </w:tcPr>
          <w:p>
            <w:pPr>
              <w:ind w:left="6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Lisa French</w:t>
            </w:r>
          </w:p>
        </w:tc>
        <w:tc>
          <w:tcPr>
            <w:tcW w:w="2260" w:type="dxa"/>
            <w:vAlign w:val="bottom"/>
            <w:tcBorders>
              <w:bottom w:val="single" w:sz="8" w:color="auto"/>
            </w:tcBorders>
            <w:gridSpan w:val="3"/>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rPr>
              <w:t>​ ​ ​</w:t>
            </w:r>
            <w:r>
              <w:rPr>
                <w:rFonts w:ascii="Arial" w:cs="Arial" w:eastAsia="Arial" w:hAnsi="Arial"/>
                <w:sz w:val="14"/>
                <w:szCs w:val="14"/>
                <w:color w:val="auto"/>
              </w:rPr>
              <w:t xml:space="preserve">​ 2/2/2024 </w:t>
            </w:r>
            <w:r>
              <w:rPr>
                <w:rFonts w:ascii="Arial" w:cs="Arial" w:eastAsia="Arial" w:hAnsi="Arial"/>
                <w:sz w:val="28"/>
                <w:szCs w:val="28"/>
                <w:color w:val="auto"/>
                <w:vertAlign w:val="superscript"/>
              </w:rPr>
              <w:t>​​</w:t>
            </w:r>
          </w:p>
        </w:tc>
        <w:tc>
          <w:tcPr>
            <w:tcW w:w="1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shd w:val="clear" w:color="auto" w:fill="E5E5E5"/>
          </w:tcPr>
          <w:p>
            <w:pPr>
              <w:ind w:left="4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6,576</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E5E5E5"/>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39,455</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shd w:val="clear" w:color="auto" w:fill="E5E5E5"/>
          </w:tcPr>
          <w:p>
            <w:pPr>
              <w:ind w:left="4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6,576</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268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Mark A. Tyndall</w:t>
            </w:r>
          </w:p>
        </w:tc>
        <w:tc>
          <w:tcPr>
            <w:tcW w:w="2260" w:type="dxa"/>
            <w:vAlign w:val="bottom"/>
            <w:tcBorders>
              <w:bottom w:val="single" w:sz="8" w:color="auto"/>
            </w:tcBorders>
            <w:gridSpan w:val="3"/>
          </w:tcPr>
          <w:p>
            <w:pPr>
              <w:jc w:val="right"/>
              <w:spacing w:after="0" w:line="263" w:lineRule="exact"/>
              <w:rPr>
                <w:sz w:val="20"/>
                <w:szCs w:val="20"/>
                <w:color w:val="auto"/>
              </w:rPr>
            </w:pPr>
            <w:r>
              <w:rPr>
                <w:rFonts w:ascii="Arial" w:cs="Arial" w:eastAsia="Arial" w:hAnsi="Arial"/>
                <w:sz w:val="28"/>
                <w:szCs w:val="28"/>
                <w:color w:val="auto"/>
                <w:vertAlign w:val="superscript"/>
              </w:rPr>
              <w:t>​ ​ ​</w:t>
            </w:r>
            <w:r>
              <w:rPr>
                <w:rFonts w:ascii="Arial" w:cs="Arial" w:eastAsia="Arial" w:hAnsi="Arial"/>
                <w:sz w:val="14"/>
                <w:szCs w:val="14"/>
                <w:color w:val="auto"/>
              </w:rPr>
              <w:t xml:space="preserve">​ 2/2/2024 </w:t>
            </w:r>
            <w:r>
              <w:rPr>
                <w:rFonts w:ascii="Arial" w:cs="Arial" w:eastAsia="Arial" w:hAnsi="Arial"/>
                <w:sz w:val="28"/>
                <w:szCs w:val="28"/>
                <w:color w:val="auto"/>
                <w:vertAlign w:val="superscript"/>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ind w:left="4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6,576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39,455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ind w:left="40"/>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6,576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136" w:lineRule="exact"/>
        <w:rPr>
          <w:sz w:val="20"/>
          <w:szCs w:val="20"/>
          <w:color w:val="auto"/>
        </w:rPr>
      </w:pPr>
    </w:p>
    <w:p>
      <w:pPr>
        <w:ind w:left="1040" w:right="160" w:hanging="368"/>
        <w:spacing w:after="0" w:line="302" w:lineRule="auto"/>
        <w:tabs>
          <w:tab w:leader="none" w:pos="10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Quantities reflect additional RSUs resulting from the adjustment of the RSUs that were held by the NEO immediately prior to the Separation, pursuant to the terms of the Employee Matters Agreement.</w:t>
      </w:r>
    </w:p>
    <w:p>
      <w:pPr>
        <w:spacing w:after="0" w:line="1" w:lineRule="exact"/>
        <w:rPr>
          <w:rFonts w:ascii="Arial" w:cs="Arial" w:eastAsia="Arial" w:hAnsi="Arial"/>
          <w:sz w:val="13"/>
          <w:szCs w:val="13"/>
          <w:color w:val="auto"/>
        </w:rPr>
      </w:pPr>
    </w:p>
    <w:p>
      <w:pPr>
        <w:ind w:left="1040" w:hanging="368"/>
        <w:spacing w:after="0"/>
        <w:tabs>
          <w:tab w:leader="none" w:pos="10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accordance with SEC rules, payout value is based on the fair value of our ordinary shares at December 31, 2025, multiplied by the number of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​38 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Option Exercises and Stock Vested</w:t>
      </w:r>
    </w:p>
    <w:p>
      <w:pPr>
        <w:spacing w:after="0" w:line="112" w:lineRule="exact"/>
        <w:rPr>
          <w:sz w:val="20"/>
          <w:szCs w:val="20"/>
          <w:color w:val="auto"/>
        </w:rPr>
      </w:pPr>
    </w:p>
    <w:p>
      <w:pPr>
        <w:ind w:left="680" w:right="80"/>
        <w:spacing w:after="0" w:line="284" w:lineRule="auto"/>
        <w:rPr>
          <w:sz w:val="20"/>
          <w:szCs w:val="20"/>
          <w:color w:val="auto"/>
        </w:rPr>
      </w:pPr>
      <w:r>
        <w:rPr>
          <w:rFonts w:ascii="Arial" w:cs="Arial" w:eastAsia="Arial" w:hAnsi="Arial"/>
          <w:sz w:val="16"/>
          <w:szCs w:val="16"/>
          <w:color w:val="auto"/>
        </w:rPr>
        <w:t>The following table provides information regarding the vesting of RSUs during fiscal 2025. The Company has no outstanding options, and there were no option exercises during fiscal 2025. For a more complete understanding of the table, please read the footnotes that follow the table.</w:t>
      </w:r>
    </w:p>
    <w:p>
      <w:pPr>
        <w:spacing w:after="0" w:line="15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00514B"/>
        </w:rPr>
        <w:t>FISCAL 2025 OPTION EXERCISES AND STOCK VESTED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3180" w:type="dxa"/>
            <w:vAlign w:val="bottom"/>
            <w:tcBorders>
              <w:bottom w:val="single" w:sz="8" w:color="B2EEDE"/>
            </w:tcBorders>
          </w:tcPr>
          <w:p>
            <w:pPr>
              <w:ind w:left="60"/>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B2EEDE"/>
            </w:tcBorders>
          </w:tcPr>
          <w:p>
            <w:pPr>
              <w:ind w:left="14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8CE5CE"/>
            </w:tcBorders>
            <w:shd w:val="clear" w:color="auto" w:fill="8CE5CE"/>
          </w:tcPr>
          <w:p>
            <w:pPr>
              <w:jc w:val="right"/>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auto"/>
            </w:tcBorders>
            <w:gridSpan w:val="3"/>
            <w:shd w:val="clear" w:color="auto" w:fill="8CE5CE"/>
          </w:tcPr>
          <w:p>
            <w:pPr>
              <w:ind w:left="50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8CE5CE"/>
          </w:tcPr>
          <w:p>
            <w:pPr>
              <w:spacing w:after="0"/>
              <w:rPr>
                <w:sz w:val="22"/>
                <w:szCs w:val="22"/>
                <w:color w:val="auto"/>
              </w:rPr>
            </w:pPr>
          </w:p>
        </w:tc>
        <w:tc>
          <w:tcPr>
            <w:tcW w:w="220" w:type="dxa"/>
            <w:vAlign w:val="bottom"/>
            <w:tcBorders>
              <w:bottom w:val="single" w:sz="8" w:color="8CE5CE"/>
            </w:tcBorders>
            <w:shd w:val="clear" w:color="auto" w:fill="8CE5CE"/>
          </w:tcPr>
          <w:p>
            <w:pPr>
              <w:jc w:val="right"/>
              <w:spacing w:after="0"/>
              <w:rPr>
                <w:sz w:val="20"/>
                <w:szCs w:val="20"/>
                <w:color w:val="auto"/>
              </w:rPr>
            </w:pPr>
            <w:r>
              <w:rPr>
                <w:rFonts w:ascii="Arial" w:cs="Arial" w:eastAsia="Arial" w:hAnsi="Arial"/>
                <w:sz w:val="16"/>
                <w:szCs w:val="16"/>
                <w:b w:val="1"/>
                <w:bCs w:val="1"/>
                <w:color w:val="auto"/>
              </w:rPr>
              <w:t>​ ​</w:t>
            </w:r>
          </w:p>
        </w:tc>
        <w:tc>
          <w:tcPr>
            <w:tcW w:w="2120" w:type="dxa"/>
            <w:vAlign w:val="bottom"/>
            <w:tcBorders>
              <w:bottom w:val="single" w:sz="8" w:color="auto"/>
            </w:tcBorders>
            <w:gridSpan w:val="4"/>
            <w:shd w:val="clear" w:color="auto" w:fill="8CE5CE"/>
          </w:tcPr>
          <w:p>
            <w:pPr>
              <w:jc w:val="right"/>
              <w:ind w:right="401"/>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8CE5CE"/>
          </w:tcPr>
          <w:p>
            <w:pPr>
              <w:spacing w:after="0"/>
              <w:rPr>
                <w:sz w:val="22"/>
                <w:szCs w:val="22"/>
                <w:color w:val="auto"/>
              </w:rPr>
            </w:pPr>
          </w:p>
        </w:tc>
        <w:tc>
          <w:tcPr>
            <w:tcW w:w="100" w:type="dxa"/>
            <w:vAlign w:val="bottom"/>
            <w:tcBorders>
              <w:bottom w:val="single" w:sz="8" w:color="8CE5CE"/>
            </w:tcBorders>
            <w:shd w:val="clear" w:color="auto" w:fill="8CE5CE"/>
          </w:tcPr>
          <w:p>
            <w:pPr>
              <w:jc w:val="right"/>
              <w:spacing w:after="0"/>
              <w:rPr>
                <w:sz w:val="20"/>
                <w:szCs w:val="20"/>
                <w:color w:val="auto"/>
              </w:rPr>
            </w:pPr>
            <w:r>
              <w:rPr>
                <w:rFonts w:ascii="Arial" w:cs="Arial" w:eastAsia="Arial" w:hAnsi="Arial"/>
                <w:sz w:val="16"/>
                <w:szCs w:val="16"/>
                <w:b w:val="1"/>
                <w:bCs w:val="1"/>
                <w:color w:val="auto"/>
              </w:rPr>
              <w:t>​</w:t>
            </w:r>
          </w:p>
        </w:tc>
      </w:tr>
      <w:tr>
        <w:trPr>
          <w:trHeight w:val="187"/>
        </w:trPr>
        <w:tc>
          <w:tcPr>
            <w:tcW w:w="3180" w:type="dxa"/>
            <w:vAlign w:val="bottom"/>
            <w:shd w:val="clear" w:color="auto" w:fill="B2EEDE"/>
          </w:tcPr>
          <w:p>
            <w:pPr>
              <w:spacing w:after="0"/>
              <w:rPr>
                <w:sz w:val="16"/>
                <w:szCs w:val="16"/>
                <w:color w:val="auto"/>
              </w:rPr>
            </w:pPr>
          </w:p>
        </w:tc>
        <w:tc>
          <w:tcPr>
            <w:tcW w:w="1520" w:type="dxa"/>
            <w:vAlign w:val="bottom"/>
            <w:shd w:val="clear" w:color="auto" w:fill="B2EEDE"/>
          </w:tcPr>
          <w:p>
            <w:pPr>
              <w:spacing w:after="0"/>
              <w:rPr>
                <w:sz w:val="16"/>
                <w:szCs w:val="16"/>
                <w:color w:val="auto"/>
              </w:rPr>
            </w:pPr>
          </w:p>
        </w:tc>
        <w:tc>
          <w:tcPr>
            <w:tcW w:w="120" w:type="dxa"/>
            <w:vAlign w:val="bottom"/>
            <w:shd w:val="clear" w:color="auto" w:fill="B2EEDE"/>
          </w:tcPr>
          <w:p>
            <w:pPr>
              <w:spacing w:after="0"/>
              <w:rPr>
                <w:sz w:val="16"/>
                <w:szCs w:val="16"/>
                <w:color w:val="auto"/>
              </w:rPr>
            </w:pPr>
          </w:p>
        </w:tc>
        <w:tc>
          <w:tcPr>
            <w:tcW w:w="8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shd w:val="clear" w:color="auto" w:fill="B2EEDE"/>
          </w:tcPr>
          <w:p>
            <w:pPr>
              <w:spacing w:after="0"/>
              <w:rPr>
                <w:sz w:val="16"/>
                <w:szCs w:val="16"/>
                <w:color w:val="auto"/>
              </w:rPr>
            </w:pPr>
          </w:p>
        </w:tc>
        <w:tc>
          <w:tcPr>
            <w:tcW w:w="1020" w:type="dxa"/>
            <w:vAlign w:val="bottom"/>
            <w:shd w:val="clear" w:color="auto" w:fill="B2EEDE"/>
          </w:tcPr>
          <w:p>
            <w:pPr>
              <w:spacing w:after="0"/>
              <w:rPr>
                <w:sz w:val="16"/>
                <w:szCs w:val="16"/>
                <w:color w:val="auto"/>
              </w:rPr>
            </w:pPr>
          </w:p>
        </w:tc>
        <w:tc>
          <w:tcPr>
            <w:tcW w:w="20" w:type="dxa"/>
            <w:vAlign w:val="bottom"/>
            <w:shd w:val="clear" w:color="auto" w:fill="B2EEDE"/>
          </w:tcPr>
          <w:p>
            <w:pPr>
              <w:spacing w:after="0"/>
              <w:rPr>
                <w:sz w:val="16"/>
                <w:szCs w:val="16"/>
                <w:color w:val="auto"/>
              </w:rPr>
            </w:pPr>
          </w:p>
        </w:tc>
        <w:tc>
          <w:tcPr>
            <w:tcW w:w="220" w:type="dxa"/>
            <w:vAlign w:val="bottom"/>
            <w:shd w:val="clear" w:color="auto" w:fill="B2EEDE"/>
          </w:tcPr>
          <w:p>
            <w:pPr>
              <w:spacing w:after="0"/>
              <w:rPr>
                <w:sz w:val="16"/>
                <w:szCs w:val="16"/>
                <w:color w:val="auto"/>
              </w:rPr>
            </w:pPr>
          </w:p>
        </w:tc>
        <w:tc>
          <w:tcPr>
            <w:tcW w:w="8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780" w:type="dxa"/>
            <w:vAlign w:val="bottom"/>
            <w:shd w:val="clear" w:color="auto" w:fill="B2EEDE"/>
          </w:tcPr>
          <w:p>
            <w:pPr>
              <w:spacing w:after="0"/>
              <w:rPr>
                <w:sz w:val="16"/>
                <w:szCs w:val="16"/>
                <w:color w:val="auto"/>
              </w:rPr>
            </w:pPr>
          </w:p>
        </w:tc>
        <w:tc>
          <w:tcPr>
            <w:tcW w:w="20" w:type="dxa"/>
            <w:vAlign w:val="bottom"/>
            <w:shd w:val="clear" w:color="auto" w:fill="B2EEDE"/>
          </w:tcPr>
          <w:p>
            <w:pPr>
              <w:spacing w:after="0"/>
              <w:rPr>
                <w:sz w:val="16"/>
                <w:szCs w:val="16"/>
                <w:color w:val="auto"/>
              </w:rPr>
            </w:pPr>
          </w:p>
        </w:tc>
        <w:tc>
          <w:tcPr>
            <w:tcW w:w="100" w:type="dxa"/>
            <w:vAlign w:val="bottom"/>
            <w:shd w:val="clear" w:color="auto" w:fill="B2EEDE"/>
          </w:tcPr>
          <w:p>
            <w:pPr>
              <w:spacing w:after="0"/>
              <w:rPr>
                <w:sz w:val="16"/>
                <w:szCs w:val="16"/>
                <w:color w:val="auto"/>
              </w:rPr>
            </w:pPr>
          </w:p>
        </w:tc>
      </w:tr>
      <w:tr>
        <w:trPr>
          <w:trHeight w:val="189"/>
        </w:trPr>
        <w:tc>
          <w:tcPr>
            <w:tcW w:w="3180" w:type="dxa"/>
            <w:vAlign w:val="bottom"/>
            <w:shd w:val="clear" w:color="auto" w:fill="B2EEDE"/>
          </w:tcPr>
          <w:p>
            <w:pPr>
              <w:spacing w:after="0"/>
              <w:rPr>
                <w:sz w:val="16"/>
                <w:szCs w:val="16"/>
                <w:color w:val="auto"/>
              </w:rPr>
            </w:pPr>
          </w:p>
        </w:tc>
        <w:tc>
          <w:tcPr>
            <w:tcW w:w="1520" w:type="dxa"/>
            <w:vAlign w:val="bottom"/>
            <w:shd w:val="clear" w:color="auto" w:fill="B2EEDE"/>
          </w:tcPr>
          <w:p>
            <w:pPr>
              <w:spacing w:after="0"/>
              <w:rPr>
                <w:sz w:val="16"/>
                <w:szCs w:val="16"/>
                <w:color w:val="auto"/>
              </w:rPr>
            </w:pPr>
          </w:p>
        </w:tc>
        <w:tc>
          <w:tcPr>
            <w:tcW w:w="120" w:type="dxa"/>
            <w:vAlign w:val="bottom"/>
            <w:shd w:val="clear" w:color="auto" w:fill="B2EEDE"/>
          </w:tcPr>
          <w:p>
            <w:pPr>
              <w:spacing w:after="0"/>
              <w:rPr>
                <w:sz w:val="16"/>
                <w:szCs w:val="16"/>
                <w:color w:val="auto"/>
              </w:rPr>
            </w:pPr>
          </w:p>
        </w:tc>
        <w:tc>
          <w:tcPr>
            <w:tcW w:w="8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Shares</w:t>
            </w:r>
          </w:p>
        </w:tc>
        <w:tc>
          <w:tcPr>
            <w:tcW w:w="240" w:type="dxa"/>
            <w:vAlign w:val="bottom"/>
            <w:shd w:val="clear" w:color="auto" w:fill="B2EEDE"/>
          </w:tcPr>
          <w:p>
            <w:pPr>
              <w:spacing w:after="0"/>
              <w:rPr>
                <w:sz w:val="16"/>
                <w:szCs w:val="16"/>
                <w:color w:val="auto"/>
              </w:rPr>
            </w:pPr>
          </w:p>
        </w:tc>
        <w:tc>
          <w:tcPr>
            <w:tcW w:w="1020" w:type="dxa"/>
            <w:vAlign w:val="bottom"/>
            <w:shd w:val="clear" w:color="auto" w:fill="B2EEDE"/>
          </w:tcPr>
          <w:p>
            <w:pPr>
              <w:spacing w:after="0"/>
              <w:rPr>
                <w:sz w:val="16"/>
                <w:szCs w:val="16"/>
                <w:color w:val="auto"/>
              </w:rPr>
            </w:pPr>
          </w:p>
        </w:tc>
        <w:tc>
          <w:tcPr>
            <w:tcW w:w="20" w:type="dxa"/>
            <w:vAlign w:val="bottom"/>
            <w:shd w:val="clear" w:color="auto" w:fill="B2EEDE"/>
          </w:tcPr>
          <w:p>
            <w:pPr>
              <w:spacing w:after="0"/>
              <w:rPr>
                <w:sz w:val="16"/>
                <w:szCs w:val="16"/>
                <w:color w:val="auto"/>
              </w:rPr>
            </w:pPr>
          </w:p>
        </w:tc>
        <w:tc>
          <w:tcPr>
            <w:tcW w:w="220" w:type="dxa"/>
            <w:vAlign w:val="bottom"/>
            <w:shd w:val="clear" w:color="auto" w:fill="B2EEDE"/>
          </w:tcPr>
          <w:p>
            <w:pPr>
              <w:spacing w:after="0"/>
              <w:rPr>
                <w:sz w:val="16"/>
                <w:szCs w:val="16"/>
                <w:color w:val="auto"/>
              </w:rPr>
            </w:pPr>
          </w:p>
        </w:tc>
        <w:tc>
          <w:tcPr>
            <w:tcW w:w="8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Shares</w:t>
            </w:r>
          </w:p>
        </w:tc>
        <w:tc>
          <w:tcPr>
            <w:tcW w:w="24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780" w:type="dxa"/>
            <w:vAlign w:val="bottom"/>
            <w:shd w:val="clear" w:color="auto" w:fill="B2EEDE"/>
          </w:tcPr>
          <w:p>
            <w:pPr>
              <w:spacing w:after="0"/>
              <w:rPr>
                <w:sz w:val="16"/>
                <w:szCs w:val="16"/>
                <w:color w:val="auto"/>
              </w:rPr>
            </w:pPr>
          </w:p>
        </w:tc>
        <w:tc>
          <w:tcPr>
            <w:tcW w:w="20" w:type="dxa"/>
            <w:vAlign w:val="bottom"/>
            <w:shd w:val="clear" w:color="auto" w:fill="B2EEDE"/>
          </w:tcPr>
          <w:p>
            <w:pPr>
              <w:spacing w:after="0"/>
              <w:rPr>
                <w:sz w:val="16"/>
                <w:szCs w:val="16"/>
                <w:color w:val="auto"/>
              </w:rPr>
            </w:pPr>
          </w:p>
        </w:tc>
        <w:tc>
          <w:tcPr>
            <w:tcW w:w="100" w:type="dxa"/>
            <w:vAlign w:val="bottom"/>
            <w:shd w:val="clear" w:color="auto" w:fill="B2EEDE"/>
          </w:tcPr>
          <w:p>
            <w:pPr>
              <w:spacing w:after="0"/>
              <w:rPr>
                <w:sz w:val="16"/>
                <w:szCs w:val="16"/>
                <w:color w:val="auto"/>
              </w:rPr>
            </w:pPr>
          </w:p>
        </w:tc>
      </w:tr>
      <w:tr>
        <w:trPr>
          <w:trHeight w:val="176"/>
        </w:trPr>
        <w:tc>
          <w:tcPr>
            <w:tcW w:w="3180" w:type="dxa"/>
            <w:vAlign w:val="bottom"/>
            <w:shd w:val="clear" w:color="auto" w:fill="B2EEDE"/>
          </w:tcPr>
          <w:p>
            <w:pPr>
              <w:spacing w:after="0"/>
              <w:rPr>
                <w:sz w:val="15"/>
                <w:szCs w:val="15"/>
                <w:color w:val="auto"/>
              </w:rPr>
            </w:pPr>
          </w:p>
        </w:tc>
        <w:tc>
          <w:tcPr>
            <w:tcW w:w="1520" w:type="dxa"/>
            <w:vAlign w:val="bottom"/>
            <w:shd w:val="clear" w:color="auto" w:fill="B2EEDE"/>
          </w:tcPr>
          <w:p>
            <w:pPr>
              <w:spacing w:after="0"/>
              <w:rPr>
                <w:sz w:val="15"/>
                <w:szCs w:val="15"/>
                <w:color w:val="auto"/>
              </w:rPr>
            </w:pPr>
          </w:p>
        </w:tc>
        <w:tc>
          <w:tcPr>
            <w:tcW w:w="120" w:type="dxa"/>
            <w:vAlign w:val="bottom"/>
            <w:shd w:val="clear" w:color="auto" w:fill="B2EEDE"/>
          </w:tcPr>
          <w:p>
            <w:pPr>
              <w:spacing w:after="0"/>
              <w:rPr>
                <w:sz w:val="15"/>
                <w:szCs w:val="15"/>
                <w:color w:val="auto"/>
              </w:rPr>
            </w:pPr>
          </w:p>
        </w:tc>
        <w:tc>
          <w:tcPr>
            <w:tcW w:w="8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Acquired on</w:t>
            </w:r>
          </w:p>
        </w:tc>
        <w:tc>
          <w:tcPr>
            <w:tcW w:w="240" w:type="dxa"/>
            <w:vAlign w:val="bottom"/>
            <w:shd w:val="clear" w:color="auto" w:fill="B2EEDE"/>
          </w:tcPr>
          <w:p>
            <w:pPr>
              <w:spacing w:after="0"/>
              <w:rPr>
                <w:sz w:val="15"/>
                <w:szCs w:val="15"/>
                <w:color w:val="auto"/>
              </w:rPr>
            </w:pPr>
          </w:p>
        </w:tc>
        <w:tc>
          <w:tcPr>
            <w:tcW w:w="10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w w:val="99"/>
              </w:rPr>
              <w:t>Value Realized</w:t>
            </w:r>
          </w:p>
        </w:tc>
        <w:tc>
          <w:tcPr>
            <w:tcW w:w="20" w:type="dxa"/>
            <w:vAlign w:val="bottom"/>
            <w:shd w:val="clear" w:color="auto" w:fill="B2EEDE"/>
          </w:tcPr>
          <w:p>
            <w:pPr>
              <w:spacing w:after="0"/>
              <w:rPr>
                <w:sz w:val="15"/>
                <w:szCs w:val="15"/>
                <w:color w:val="auto"/>
              </w:rPr>
            </w:pPr>
          </w:p>
        </w:tc>
        <w:tc>
          <w:tcPr>
            <w:tcW w:w="220" w:type="dxa"/>
            <w:vAlign w:val="bottom"/>
            <w:shd w:val="clear" w:color="auto" w:fill="B2EEDE"/>
          </w:tcPr>
          <w:p>
            <w:pPr>
              <w:spacing w:after="0"/>
              <w:rPr>
                <w:sz w:val="15"/>
                <w:szCs w:val="15"/>
                <w:color w:val="auto"/>
              </w:rPr>
            </w:pPr>
          </w:p>
        </w:tc>
        <w:tc>
          <w:tcPr>
            <w:tcW w:w="8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Acquired on</w:t>
            </w:r>
          </w:p>
        </w:tc>
        <w:tc>
          <w:tcPr>
            <w:tcW w:w="240" w:type="dxa"/>
            <w:vAlign w:val="bottom"/>
            <w:shd w:val="clear" w:color="auto" w:fill="B2EEDE"/>
          </w:tcPr>
          <w:p>
            <w:pPr>
              <w:spacing w:after="0"/>
              <w:rPr>
                <w:sz w:val="15"/>
                <w:szCs w:val="15"/>
                <w:color w:val="auto"/>
              </w:rPr>
            </w:pPr>
          </w:p>
        </w:tc>
        <w:tc>
          <w:tcPr>
            <w:tcW w:w="1020" w:type="dxa"/>
            <w:vAlign w:val="bottom"/>
            <w:gridSpan w:val="2"/>
            <w:shd w:val="clear" w:color="auto" w:fill="B2EEDE"/>
          </w:tcPr>
          <w:p>
            <w:pPr>
              <w:jc w:val="right"/>
              <w:spacing w:after="0"/>
              <w:rPr>
                <w:sz w:val="20"/>
                <w:szCs w:val="20"/>
                <w:color w:val="auto"/>
              </w:rPr>
            </w:pPr>
            <w:r>
              <w:rPr>
                <w:rFonts w:ascii="Arial" w:cs="Arial" w:eastAsia="Arial" w:hAnsi="Arial"/>
                <w:sz w:val="14"/>
                <w:szCs w:val="14"/>
                <w:b w:val="1"/>
                <w:bCs w:val="1"/>
                <w:color w:val="auto"/>
                <w:w w:val="99"/>
              </w:rPr>
              <w:t>Value Realized</w:t>
            </w:r>
          </w:p>
        </w:tc>
        <w:tc>
          <w:tcPr>
            <w:tcW w:w="2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r>
      <w:tr>
        <w:trPr>
          <w:trHeight w:val="175"/>
        </w:trPr>
        <w:tc>
          <w:tcPr>
            <w:tcW w:w="3180" w:type="dxa"/>
            <w:vAlign w:val="bottom"/>
            <w:shd w:val="clear" w:color="auto" w:fill="B2EEDE"/>
          </w:tcPr>
          <w:p>
            <w:pPr>
              <w:spacing w:after="0"/>
              <w:rPr>
                <w:sz w:val="15"/>
                <w:szCs w:val="15"/>
                <w:color w:val="auto"/>
              </w:rPr>
            </w:pPr>
          </w:p>
        </w:tc>
        <w:tc>
          <w:tcPr>
            <w:tcW w:w="1520" w:type="dxa"/>
            <w:vAlign w:val="bottom"/>
            <w:shd w:val="clear" w:color="auto" w:fill="B2EEDE"/>
          </w:tcPr>
          <w:p>
            <w:pPr>
              <w:spacing w:after="0"/>
              <w:rPr>
                <w:sz w:val="15"/>
                <w:szCs w:val="15"/>
                <w:color w:val="auto"/>
              </w:rPr>
            </w:pPr>
          </w:p>
        </w:tc>
        <w:tc>
          <w:tcPr>
            <w:tcW w:w="120" w:type="dxa"/>
            <w:vAlign w:val="bottom"/>
            <w:shd w:val="clear" w:color="auto" w:fill="B2EEDE"/>
          </w:tcPr>
          <w:p>
            <w:pPr>
              <w:spacing w:after="0"/>
              <w:rPr>
                <w:sz w:val="15"/>
                <w:szCs w:val="15"/>
                <w:color w:val="auto"/>
              </w:rPr>
            </w:pPr>
          </w:p>
        </w:tc>
        <w:tc>
          <w:tcPr>
            <w:tcW w:w="84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Exercise</w:t>
            </w:r>
          </w:p>
        </w:tc>
        <w:tc>
          <w:tcPr>
            <w:tcW w:w="240" w:type="dxa"/>
            <w:vAlign w:val="bottom"/>
            <w:shd w:val="clear" w:color="auto" w:fill="B2EEDE"/>
          </w:tcPr>
          <w:p>
            <w:pPr>
              <w:spacing w:after="0"/>
              <w:rPr>
                <w:sz w:val="15"/>
                <w:szCs w:val="15"/>
                <w:color w:val="auto"/>
              </w:rPr>
            </w:pPr>
          </w:p>
        </w:tc>
        <w:tc>
          <w:tcPr>
            <w:tcW w:w="10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on Exercise</w:t>
            </w:r>
          </w:p>
        </w:tc>
        <w:tc>
          <w:tcPr>
            <w:tcW w:w="20" w:type="dxa"/>
            <w:vAlign w:val="bottom"/>
            <w:shd w:val="clear" w:color="auto" w:fill="B2EEDE"/>
          </w:tcPr>
          <w:p>
            <w:pPr>
              <w:spacing w:after="0"/>
              <w:rPr>
                <w:sz w:val="15"/>
                <w:szCs w:val="15"/>
                <w:color w:val="auto"/>
              </w:rPr>
            </w:pPr>
          </w:p>
        </w:tc>
        <w:tc>
          <w:tcPr>
            <w:tcW w:w="220" w:type="dxa"/>
            <w:vAlign w:val="bottom"/>
            <w:shd w:val="clear" w:color="auto" w:fill="B2EEDE"/>
          </w:tcPr>
          <w:p>
            <w:pPr>
              <w:spacing w:after="0"/>
              <w:rPr>
                <w:sz w:val="15"/>
                <w:szCs w:val="15"/>
                <w:color w:val="auto"/>
              </w:rPr>
            </w:pPr>
          </w:p>
        </w:tc>
        <w:tc>
          <w:tcPr>
            <w:tcW w:w="8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w w:val="98"/>
              </w:rPr>
              <w:t>Vesting</w:t>
            </w:r>
          </w:p>
        </w:tc>
        <w:tc>
          <w:tcPr>
            <w:tcW w:w="240" w:type="dxa"/>
            <w:vAlign w:val="bottom"/>
            <w:shd w:val="clear" w:color="auto" w:fill="B2EEDE"/>
          </w:tcPr>
          <w:p>
            <w:pPr>
              <w:spacing w:after="0"/>
              <w:rPr>
                <w:sz w:val="15"/>
                <w:szCs w:val="15"/>
                <w:color w:val="auto"/>
              </w:rPr>
            </w:pPr>
          </w:p>
        </w:tc>
        <w:tc>
          <w:tcPr>
            <w:tcW w:w="1020" w:type="dxa"/>
            <w:vAlign w:val="bottom"/>
            <w:gridSpan w:val="2"/>
            <w:shd w:val="clear" w:color="auto" w:fill="B2EEDE"/>
          </w:tcPr>
          <w:p>
            <w:pPr>
              <w:ind w:left="140"/>
              <w:spacing w:after="0"/>
              <w:rPr>
                <w:sz w:val="20"/>
                <w:szCs w:val="20"/>
                <w:color w:val="auto"/>
              </w:rPr>
            </w:pPr>
            <w:r>
              <w:rPr>
                <w:rFonts w:ascii="Arial" w:cs="Arial" w:eastAsia="Arial" w:hAnsi="Arial"/>
                <w:sz w:val="14"/>
                <w:szCs w:val="14"/>
                <w:b w:val="1"/>
                <w:bCs w:val="1"/>
                <w:color w:val="auto"/>
              </w:rPr>
              <w:t>on Vesting</w:t>
            </w:r>
          </w:p>
        </w:tc>
        <w:tc>
          <w:tcPr>
            <w:tcW w:w="20" w:type="dxa"/>
            <w:vAlign w:val="bottom"/>
            <w:shd w:val="clear" w:color="auto" w:fill="B2EEDE"/>
          </w:tcPr>
          <w:p>
            <w:pPr>
              <w:spacing w:after="0"/>
              <w:rPr>
                <w:sz w:val="15"/>
                <w:szCs w:val="15"/>
                <w:color w:val="auto"/>
              </w:rPr>
            </w:pPr>
          </w:p>
        </w:tc>
        <w:tc>
          <w:tcPr>
            <w:tcW w:w="100" w:type="dxa"/>
            <w:vAlign w:val="bottom"/>
            <w:shd w:val="clear" w:color="auto" w:fill="B2EEDE"/>
          </w:tcPr>
          <w:p>
            <w:pPr>
              <w:spacing w:after="0"/>
              <w:rPr>
                <w:sz w:val="15"/>
                <w:szCs w:val="15"/>
                <w:color w:val="auto"/>
              </w:rPr>
            </w:pPr>
          </w:p>
        </w:tc>
      </w:tr>
      <w:tr>
        <w:trPr>
          <w:trHeight w:val="225"/>
        </w:trPr>
        <w:tc>
          <w:tcPr>
            <w:tcW w:w="318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Name</w:t>
            </w:r>
          </w:p>
        </w:tc>
        <w:tc>
          <w:tcPr>
            <w:tcW w:w="1640" w:type="dxa"/>
            <w:vAlign w:val="bottom"/>
            <w:tcBorders>
              <w:bottom w:val="single" w:sz="8" w:color="auto"/>
            </w:tcBorders>
            <w:gridSpan w:val="2"/>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102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B2EEDE"/>
          </w:tcPr>
          <w:p>
            <w:pPr>
              <w:spacing w:after="0"/>
              <w:rPr>
                <w:sz w:val="19"/>
                <w:szCs w:val="19"/>
                <w:color w:val="auto"/>
              </w:rPr>
            </w:pPr>
          </w:p>
        </w:tc>
        <w:tc>
          <w:tcPr>
            <w:tcW w:w="2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86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shd w:val="clear" w:color="auto" w:fill="B2EEDE"/>
          </w:tcPr>
          <w:p>
            <w:pPr>
              <w:spacing w:after="0"/>
              <w:rPr>
                <w:sz w:val="19"/>
                <w:szCs w:val="19"/>
                <w:color w:val="auto"/>
              </w:rPr>
            </w:pPr>
          </w:p>
        </w:tc>
        <w:tc>
          <w:tcPr>
            <w:tcW w:w="780" w:type="dxa"/>
            <w:vAlign w:val="bottom"/>
            <w:tcBorders>
              <w:bottom w:val="single" w:sz="8" w:color="auto"/>
            </w:tcBorders>
            <w:shd w:val="clear" w:color="auto" w:fill="B2EEDE"/>
          </w:tcPr>
          <w:p>
            <w:pPr>
              <w:jc w:val="right"/>
              <w:ind w:right="28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20" w:type="dxa"/>
            <w:vAlign w:val="bottom"/>
            <w:tcBorders>
              <w:bottom w:val="single" w:sz="8" w:color="auto"/>
            </w:tcBorders>
            <w:shd w:val="clear" w:color="auto" w:fill="B2EEDE"/>
          </w:tcPr>
          <w:p>
            <w:pPr>
              <w:spacing w:after="0"/>
              <w:rPr>
                <w:sz w:val="19"/>
                <w:szCs w:val="19"/>
                <w:color w:val="auto"/>
              </w:rPr>
            </w:pPr>
          </w:p>
        </w:tc>
        <w:tc>
          <w:tcPr>
            <w:tcW w:w="1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31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Sigurdur O. Olafsson</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 ​</w:t>
            </w:r>
          </w:p>
        </w:tc>
        <w:tc>
          <w:tcPr>
            <w:tcW w:w="8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27,355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gridSpan w:val="2"/>
          </w:tcPr>
          <w:p>
            <w:pPr>
              <w:jc w:val="right"/>
              <w:ind w:right="6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​1,990,076</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18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Christiana Stamoulis</w:t>
            </w:r>
            <w:r>
              <w:rPr>
                <w:rFonts w:ascii="Arial" w:cs="Arial" w:eastAsia="Arial" w:hAnsi="Arial"/>
                <w:sz w:val="17"/>
                <w:szCs w:val="17"/>
                <w:color w:val="auto"/>
                <w:vertAlign w:val="superscript"/>
              </w:rPr>
              <w:t>(2)</w:t>
            </w:r>
          </w:p>
        </w:tc>
        <w:tc>
          <w:tcPr>
            <w:tcW w:w="16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86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36,459</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gridSpan w:val="2"/>
            <w:shd w:val="clear" w:color="auto" w:fill="E5E5E5"/>
          </w:tcPr>
          <w:p>
            <w:pPr>
              <w:jc w:val="right"/>
              <w:ind w:right="6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​2,745,363</w:t>
            </w:r>
          </w:p>
        </w:tc>
        <w:tc>
          <w:tcPr>
            <w:tcW w:w="1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1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Henriette Nielsen</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 ​</w:t>
            </w:r>
          </w:p>
        </w:tc>
        <w:tc>
          <w:tcPr>
            <w:tcW w:w="8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397,943</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18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Lisa French</w:t>
            </w:r>
          </w:p>
        </w:tc>
        <w:tc>
          <w:tcPr>
            <w:tcW w:w="16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86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5,470</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shd w:val="clear" w:color="auto" w:fill="E5E5E5"/>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80" w:type="dxa"/>
            <w:vAlign w:val="bottom"/>
            <w:tcBorders>
              <w:bottom w:val="single" w:sz="8" w:color="auto"/>
            </w:tcBorders>
            <w:shd w:val="clear" w:color="auto" w:fill="E5E5E5"/>
          </w:tcPr>
          <w:p>
            <w:pPr>
              <w:jc w:val="right"/>
              <w:ind w:right="61"/>
              <w:spacing w:after="0"/>
              <w:rPr>
                <w:sz w:val="20"/>
                <w:szCs w:val="20"/>
                <w:color w:val="auto"/>
              </w:rPr>
            </w:pPr>
            <w:r>
              <w:rPr>
                <w:rFonts w:ascii="Arial" w:cs="Arial" w:eastAsia="Arial" w:hAnsi="Arial"/>
                <w:sz w:val="16"/>
                <w:szCs w:val="16"/>
                <w:color w:val="auto"/>
              </w:rPr>
              <w:t>397,943</w:t>
            </w:r>
          </w:p>
        </w:tc>
        <w:tc>
          <w:tcPr>
            <w:tcW w:w="1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1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Mark A. Tyndall</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 ​</w:t>
            </w:r>
          </w:p>
        </w:tc>
        <w:tc>
          <w:tcPr>
            <w:tcW w:w="8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397,943</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3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​Bryan M. Reasons</w:t>
            </w:r>
            <w:r>
              <w:rPr>
                <w:rFonts w:ascii="Arial" w:cs="Arial" w:eastAsia="Arial" w:hAnsi="Arial"/>
                <w:sz w:val="19"/>
                <w:szCs w:val="19"/>
                <w:color w:val="auto"/>
                <w:vertAlign w:val="superscript"/>
              </w:rPr>
              <w:t>(3)</w:t>
            </w:r>
          </w:p>
        </w:tc>
        <w:tc>
          <w:tcPr>
            <w:tcW w:w="16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8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61,552</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gridSpan w:val="2"/>
            <w:shd w:val="clear" w:color="auto" w:fill="E5E5E5"/>
          </w:tcPr>
          <w:p>
            <w:pPr>
              <w:jc w:val="right"/>
              <w:ind w:right="61"/>
              <w:spacing w:after="0"/>
              <w:rPr>
                <w:sz w:val="20"/>
                <w:szCs w:val="20"/>
                <w:color w:val="auto"/>
              </w:rPr>
            </w:pPr>
            <w:r>
              <w:rPr>
                <w:rFonts w:ascii="Arial" w:cs="Arial" w:eastAsia="Arial" w:hAnsi="Arial"/>
                <w:sz w:val="16"/>
                <w:szCs w:val="16"/>
                <w:color w:val="auto"/>
              </w:rPr>
              <w:t>​5,547,567</w:t>
            </w:r>
          </w:p>
        </w:tc>
        <w:tc>
          <w:tcPr>
            <w:tcW w:w="1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-1645285</wp:posOffset>
            </wp:positionV>
            <wp:extent cx="29832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6" w:lineRule="exact"/>
        <w:rPr>
          <w:sz w:val="20"/>
          <w:szCs w:val="20"/>
          <w:color w:val="auto"/>
        </w:rPr>
      </w:pPr>
    </w:p>
    <w:p>
      <w:pPr>
        <w:ind w:left="1040" w:right="80" w:hanging="368"/>
        <w:spacing w:after="0" w:line="302" w:lineRule="auto"/>
        <w:tabs>
          <w:tab w:leader="none" w:pos="10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in this column were calculated by multiplying the number of shares issued in respect of awards vested by the fair value of our ordinary shares at vesting.</w:t>
      </w:r>
    </w:p>
    <w:p>
      <w:pPr>
        <w:spacing w:after="0" w:line="1" w:lineRule="exact"/>
        <w:rPr>
          <w:rFonts w:ascii="Arial" w:cs="Arial" w:eastAsia="Arial" w:hAnsi="Arial"/>
          <w:sz w:val="13"/>
          <w:szCs w:val="13"/>
          <w:color w:val="auto"/>
        </w:rPr>
      </w:pPr>
    </w:p>
    <w:p>
      <w:pPr>
        <w:ind w:left="1040" w:right="200" w:hanging="368"/>
        <w:spacing w:after="0" w:line="302" w:lineRule="auto"/>
        <w:tabs>
          <w:tab w:leader="none" w:pos="10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quantity for Ms. Stamoulis reflects additional RSUs resulting from the adjustment of the RSUs that were held by Ms. Stamoulis immediately prior to the Separation, pursuant to the terms of the Employee Matters Agreement.</w:t>
      </w:r>
    </w:p>
    <w:p>
      <w:pPr>
        <w:spacing w:after="0" w:line="1" w:lineRule="exact"/>
        <w:rPr>
          <w:rFonts w:ascii="Arial" w:cs="Arial" w:eastAsia="Arial" w:hAnsi="Arial"/>
          <w:sz w:val="13"/>
          <w:szCs w:val="13"/>
          <w:color w:val="auto"/>
        </w:rPr>
      </w:pPr>
    </w:p>
    <w:p>
      <w:pPr>
        <w:ind w:left="1040" w:right="60" w:hanging="368"/>
        <w:spacing w:after="0" w:line="302" w:lineRule="auto"/>
        <w:tabs>
          <w:tab w:leader="none" w:pos="10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quantities for Mr. Reasons include the vesting of 6,838 RSUs in the ordinary course on January 1, 2025 and the accelerated vesting of 54,714 RSUs, which Mr. Reasons was entitled to in connection with his departure on September 30, 2025.</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Non-Qualified Deferred Compensation</w:t>
      </w:r>
    </w:p>
    <w:p>
      <w:pPr>
        <w:spacing w:after="0" w:line="126" w:lineRule="exact"/>
        <w:rPr>
          <w:sz w:val="20"/>
          <w:szCs w:val="20"/>
          <w:color w:val="auto"/>
        </w:rPr>
      </w:pPr>
    </w:p>
    <w:p>
      <w:pPr>
        <w:ind w:left="680" w:right="140"/>
        <w:spacing w:after="0" w:line="275" w:lineRule="auto"/>
        <w:rPr>
          <w:sz w:val="20"/>
          <w:szCs w:val="20"/>
          <w:color w:val="auto"/>
        </w:rPr>
      </w:pPr>
      <w:r>
        <w:rPr>
          <w:rFonts w:ascii="Arial" w:cs="Arial" w:eastAsia="Arial" w:hAnsi="Arial"/>
          <w:sz w:val="16"/>
          <w:szCs w:val="16"/>
          <w:color w:val="auto"/>
        </w:rPr>
        <w:t>The following table provides information with respect to non-qualified deferred compensation for fiscal 2025 for each NEO. For more information regarding information contained in the table and the material terms of our non-qualified deferred compensation plan, please read the CD&amp;A and the footnotes that follow the table.</w:t>
      </w:r>
    </w:p>
    <w:p>
      <w:pPr>
        <w:spacing w:after="0" w:line="1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00514B"/>
        </w:rPr>
        <w:t>FISCAL 2025 NON-QUALIFIED DEFERRED COMPENSATION</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600" w:type="dxa"/>
            <w:vAlign w:val="bottom"/>
            <w:shd w:val="clear" w:color="auto" w:fill="B2EEDE"/>
          </w:tcPr>
          <w:p>
            <w:pPr>
              <w:spacing w:after="0"/>
              <w:rPr>
                <w:sz w:val="17"/>
                <w:szCs w:val="17"/>
                <w:color w:val="auto"/>
              </w:rPr>
            </w:pPr>
          </w:p>
        </w:tc>
        <w:tc>
          <w:tcPr>
            <w:tcW w:w="1160" w:type="dxa"/>
            <w:vAlign w:val="bottom"/>
            <w:shd w:val="clear" w:color="auto" w:fill="B2EEDE"/>
          </w:tcPr>
          <w:p>
            <w:pPr>
              <w:spacing w:after="0"/>
              <w:rPr>
                <w:sz w:val="17"/>
                <w:szCs w:val="17"/>
                <w:color w:val="auto"/>
              </w:rPr>
            </w:pPr>
          </w:p>
        </w:tc>
        <w:tc>
          <w:tcPr>
            <w:tcW w:w="9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Executive</w:t>
            </w:r>
          </w:p>
        </w:tc>
        <w:tc>
          <w:tcPr>
            <w:tcW w:w="240" w:type="dxa"/>
            <w:vAlign w:val="bottom"/>
            <w:shd w:val="clear" w:color="auto" w:fill="B2EEDE"/>
          </w:tcPr>
          <w:p>
            <w:pPr>
              <w:spacing w:after="0"/>
              <w:rPr>
                <w:sz w:val="17"/>
                <w:szCs w:val="17"/>
                <w:color w:val="auto"/>
              </w:rPr>
            </w:pPr>
          </w:p>
        </w:tc>
        <w:tc>
          <w:tcPr>
            <w:tcW w:w="960" w:type="dxa"/>
            <w:vAlign w:val="bottom"/>
            <w:gridSpan w:val="2"/>
            <w:shd w:val="clear" w:color="auto" w:fill="B2EEDE"/>
          </w:tcPr>
          <w:p>
            <w:pPr>
              <w:ind w:left="120"/>
              <w:spacing w:after="0"/>
              <w:rPr>
                <w:sz w:val="20"/>
                <w:szCs w:val="20"/>
                <w:color w:val="auto"/>
              </w:rPr>
            </w:pPr>
            <w:r>
              <w:rPr>
                <w:rFonts w:ascii="Arial" w:cs="Arial" w:eastAsia="Arial" w:hAnsi="Arial"/>
                <w:sz w:val="14"/>
                <w:szCs w:val="14"/>
                <w:b w:val="1"/>
                <w:bCs w:val="1"/>
                <w:color w:val="auto"/>
              </w:rPr>
              <w:t>Registrant</w:t>
            </w:r>
          </w:p>
        </w:tc>
        <w:tc>
          <w:tcPr>
            <w:tcW w:w="240" w:type="dxa"/>
            <w:vAlign w:val="bottom"/>
            <w:shd w:val="clear" w:color="auto" w:fill="B2EEDE"/>
          </w:tcPr>
          <w:p>
            <w:pPr>
              <w:spacing w:after="0"/>
              <w:rPr>
                <w:sz w:val="17"/>
                <w:szCs w:val="17"/>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Aggregate</w:t>
            </w:r>
          </w:p>
        </w:tc>
        <w:tc>
          <w:tcPr>
            <w:tcW w:w="240" w:type="dxa"/>
            <w:vAlign w:val="bottom"/>
            <w:shd w:val="clear" w:color="auto" w:fill="B2EEDE"/>
          </w:tcPr>
          <w:p>
            <w:pPr>
              <w:spacing w:after="0"/>
              <w:rPr>
                <w:sz w:val="17"/>
                <w:szCs w:val="17"/>
                <w:color w:val="auto"/>
              </w:rPr>
            </w:pPr>
          </w:p>
        </w:tc>
        <w:tc>
          <w:tcPr>
            <w:tcW w:w="920" w:type="dxa"/>
            <w:vAlign w:val="bottom"/>
            <w:shd w:val="clear" w:color="auto" w:fill="B2EEDE"/>
          </w:tcPr>
          <w:p>
            <w:pPr>
              <w:spacing w:after="0"/>
              <w:rPr>
                <w:sz w:val="17"/>
                <w:szCs w:val="17"/>
                <w:color w:val="auto"/>
              </w:rPr>
            </w:pPr>
          </w:p>
        </w:tc>
        <w:tc>
          <w:tcPr>
            <w:tcW w:w="140" w:type="dxa"/>
            <w:vAlign w:val="bottom"/>
            <w:shd w:val="clear" w:color="auto" w:fill="B2EEDE"/>
          </w:tcPr>
          <w:p>
            <w:pPr>
              <w:spacing w:after="0"/>
              <w:rPr>
                <w:sz w:val="17"/>
                <w:szCs w:val="17"/>
                <w:color w:val="auto"/>
              </w:rPr>
            </w:pPr>
          </w:p>
        </w:tc>
        <w:tc>
          <w:tcPr>
            <w:tcW w:w="88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Aggregate</w:t>
            </w:r>
          </w:p>
        </w:tc>
        <w:tc>
          <w:tcPr>
            <w:tcW w:w="100" w:type="dxa"/>
            <w:vAlign w:val="bottom"/>
            <w:shd w:val="clear" w:color="auto" w:fill="B2EEDE"/>
          </w:tcPr>
          <w:p>
            <w:pPr>
              <w:spacing w:after="0"/>
              <w:rPr>
                <w:sz w:val="17"/>
                <w:szCs w:val="17"/>
                <w:color w:val="auto"/>
              </w:rPr>
            </w:pPr>
          </w:p>
        </w:tc>
      </w:tr>
      <w:tr>
        <w:trPr>
          <w:trHeight w:val="175"/>
        </w:trPr>
        <w:tc>
          <w:tcPr>
            <w:tcW w:w="2600" w:type="dxa"/>
            <w:vAlign w:val="bottom"/>
            <w:shd w:val="clear" w:color="auto" w:fill="B2EEDE"/>
          </w:tcPr>
          <w:p>
            <w:pPr>
              <w:spacing w:after="0"/>
              <w:rPr>
                <w:sz w:val="15"/>
                <w:szCs w:val="15"/>
                <w:color w:val="auto"/>
              </w:rPr>
            </w:pPr>
          </w:p>
        </w:tc>
        <w:tc>
          <w:tcPr>
            <w:tcW w:w="1160" w:type="dxa"/>
            <w:vAlign w:val="bottom"/>
            <w:shd w:val="clear" w:color="auto" w:fill="B2EEDE"/>
          </w:tcPr>
          <w:p>
            <w:pPr>
              <w:spacing w:after="0"/>
              <w:rPr>
                <w:sz w:val="15"/>
                <w:szCs w:val="15"/>
                <w:color w:val="auto"/>
              </w:rPr>
            </w:pPr>
          </w:p>
        </w:tc>
        <w:tc>
          <w:tcPr>
            <w:tcW w:w="9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shd w:val="clear" w:color="auto" w:fill="B2EEDE"/>
          </w:tcPr>
          <w:p>
            <w:pPr>
              <w:spacing w:after="0"/>
              <w:rPr>
                <w:sz w:val="15"/>
                <w:szCs w:val="15"/>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shd w:val="clear" w:color="auto" w:fill="B2EEDE"/>
          </w:tcPr>
          <w:p>
            <w:pPr>
              <w:spacing w:after="0"/>
              <w:rPr>
                <w:sz w:val="15"/>
                <w:szCs w:val="15"/>
                <w:color w:val="auto"/>
              </w:rPr>
            </w:pPr>
          </w:p>
        </w:tc>
        <w:tc>
          <w:tcPr>
            <w:tcW w:w="960" w:type="dxa"/>
            <w:vAlign w:val="bottom"/>
            <w:gridSpan w:val="2"/>
            <w:shd w:val="clear" w:color="auto" w:fill="B2EEDE"/>
          </w:tcPr>
          <w:p>
            <w:pPr>
              <w:ind w:left="160"/>
              <w:spacing w:after="0"/>
              <w:rPr>
                <w:sz w:val="20"/>
                <w:szCs w:val="20"/>
                <w:color w:val="auto"/>
              </w:rPr>
            </w:pPr>
            <w:r>
              <w:rPr>
                <w:rFonts w:ascii="Arial" w:cs="Arial" w:eastAsia="Arial" w:hAnsi="Arial"/>
                <w:sz w:val="14"/>
                <w:szCs w:val="14"/>
                <w:b w:val="1"/>
                <w:bCs w:val="1"/>
                <w:color w:val="auto"/>
              </w:rPr>
              <w:t>Earnings</w:t>
            </w:r>
          </w:p>
        </w:tc>
        <w:tc>
          <w:tcPr>
            <w:tcW w:w="240" w:type="dxa"/>
            <w:vAlign w:val="bottom"/>
            <w:shd w:val="clear" w:color="auto" w:fill="B2EEDE"/>
          </w:tcPr>
          <w:p>
            <w:pPr>
              <w:spacing w:after="0"/>
              <w:rPr>
                <w:sz w:val="15"/>
                <w:szCs w:val="15"/>
                <w:color w:val="auto"/>
              </w:rPr>
            </w:pPr>
          </w:p>
        </w:tc>
        <w:tc>
          <w:tcPr>
            <w:tcW w:w="9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Aggregate</w:t>
            </w:r>
          </w:p>
        </w:tc>
        <w:tc>
          <w:tcPr>
            <w:tcW w:w="140" w:type="dxa"/>
            <w:vAlign w:val="bottom"/>
            <w:shd w:val="clear" w:color="auto" w:fill="B2EEDE"/>
          </w:tcPr>
          <w:p>
            <w:pPr>
              <w:spacing w:after="0"/>
              <w:rPr>
                <w:sz w:val="15"/>
                <w:szCs w:val="15"/>
                <w:color w:val="auto"/>
              </w:rPr>
            </w:pPr>
          </w:p>
        </w:tc>
        <w:tc>
          <w:tcPr>
            <w:tcW w:w="88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w w:val="99"/>
              </w:rPr>
              <w:t>Balance at</w:t>
            </w:r>
          </w:p>
        </w:tc>
        <w:tc>
          <w:tcPr>
            <w:tcW w:w="100" w:type="dxa"/>
            <w:vAlign w:val="bottom"/>
            <w:shd w:val="clear" w:color="auto" w:fill="B2EEDE"/>
          </w:tcPr>
          <w:p>
            <w:pPr>
              <w:spacing w:after="0"/>
              <w:rPr>
                <w:sz w:val="15"/>
                <w:szCs w:val="15"/>
                <w:color w:val="auto"/>
              </w:rPr>
            </w:pPr>
          </w:p>
        </w:tc>
      </w:tr>
      <w:tr>
        <w:trPr>
          <w:trHeight w:val="175"/>
        </w:trPr>
        <w:tc>
          <w:tcPr>
            <w:tcW w:w="2600" w:type="dxa"/>
            <w:vAlign w:val="bottom"/>
            <w:shd w:val="clear" w:color="auto" w:fill="B2EEDE"/>
          </w:tcPr>
          <w:p>
            <w:pPr>
              <w:spacing w:after="0"/>
              <w:rPr>
                <w:sz w:val="15"/>
                <w:szCs w:val="15"/>
                <w:color w:val="auto"/>
              </w:rPr>
            </w:pPr>
          </w:p>
        </w:tc>
        <w:tc>
          <w:tcPr>
            <w:tcW w:w="1160" w:type="dxa"/>
            <w:vAlign w:val="bottom"/>
            <w:shd w:val="clear" w:color="auto" w:fill="B2EEDE"/>
          </w:tcPr>
          <w:p>
            <w:pPr>
              <w:spacing w:after="0"/>
              <w:rPr>
                <w:sz w:val="15"/>
                <w:szCs w:val="15"/>
                <w:color w:val="auto"/>
              </w:rPr>
            </w:pPr>
          </w:p>
        </w:tc>
        <w:tc>
          <w:tcPr>
            <w:tcW w:w="9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in Last Fiscal</w:t>
            </w:r>
          </w:p>
        </w:tc>
        <w:tc>
          <w:tcPr>
            <w:tcW w:w="240" w:type="dxa"/>
            <w:vAlign w:val="bottom"/>
            <w:shd w:val="clear" w:color="auto" w:fill="B2EEDE"/>
          </w:tcPr>
          <w:p>
            <w:pPr>
              <w:spacing w:after="0"/>
              <w:rPr>
                <w:sz w:val="15"/>
                <w:szCs w:val="15"/>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in Last Fiscal</w:t>
            </w:r>
          </w:p>
        </w:tc>
        <w:tc>
          <w:tcPr>
            <w:tcW w:w="240" w:type="dxa"/>
            <w:vAlign w:val="bottom"/>
            <w:shd w:val="clear" w:color="auto" w:fill="B2EEDE"/>
          </w:tcPr>
          <w:p>
            <w:pPr>
              <w:spacing w:after="0"/>
              <w:rPr>
                <w:sz w:val="15"/>
                <w:szCs w:val="15"/>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(Loss) in Last</w:t>
            </w:r>
          </w:p>
        </w:tc>
        <w:tc>
          <w:tcPr>
            <w:tcW w:w="240" w:type="dxa"/>
            <w:vAlign w:val="bottom"/>
            <w:shd w:val="clear" w:color="auto" w:fill="B2EEDE"/>
          </w:tcPr>
          <w:p>
            <w:pPr>
              <w:spacing w:after="0"/>
              <w:rPr>
                <w:sz w:val="15"/>
                <w:szCs w:val="15"/>
                <w:color w:val="auto"/>
              </w:rPr>
            </w:pPr>
          </w:p>
        </w:tc>
        <w:tc>
          <w:tcPr>
            <w:tcW w:w="1060" w:type="dxa"/>
            <w:vAlign w:val="bottom"/>
            <w:gridSpan w:val="2"/>
            <w:shd w:val="clear" w:color="auto" w:fill="B2EEDE"/>
          </w:tcPr>
          <w:p>
            <w:pPr>
              <w:spacing w:after="0"/>
              <w:rPr>
                <w:sz w:val="20"/>
                <w:szCs w:val="20"/>
                <w:color w:val="auto"/>
              </w:rPr>
            </w:pPr>
            <w:r>
              <w:rPr>
                <w:rFonts w:ascii="Arial" w:cs="Arial" w:eastAsia="Arial" w:hAnsi="Arial"/>
                <w:sz w:val="14"/>
                <w:szCs w:val="14"/>
                <w:b w:val="1"/>
                <w:bCs w:val="1"/>
                <w:color w:val="auto"/>
              </w:rPr>
              <w:t>Withdrawals /​</w:t>
            </w:r>
          </w:p>
        </w:tc>
        <w:tc>
          <w:tcPr>
            <w:tcW w:w="88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Last Fiscal</w:t>
            </w:r>
          </w:p>
        </w:tc>
        <w:tc>
          <w:tcPr>
            <w:tcW w:w="100" w:type="dxa"/>
            <w:vAlign w:val="bottom"/>
            <w:shd w:val="clear" w:color="auto" w:fill="B2EEDE"/>
          </w:tcPr>
          <w:p>
            <w:pPr>
              <w:spacing w:after="0"/>
              <w:rPr>
                <w:sz w:val="15"/>
                <w:szCs w:val="15"/>
                <w:color w:val="auto"/>
              </w:rPr>
            </w:pPr>
          </w:p>
        </w:tc>
      </w:tr>
      <w:tr>
        <w:trPr>
          <w:trHeight w:val="176"/>
        </w:trPr>
        <w:tc>
          <w:tcPr>
            <w:tcW w:w="2600" w:type="dxa"/>
            <w:vAlign w:val="bottom"/>
            <w:shd w:val="clear" w:color="auto" w:fill="B2EEDE"/>
          </w:tcPr>
          <w:p>
            <w:pPr>
              <w:spacing w:after="0"/>
              <w:rPr>
                <w:sz w:val="15"/>
                <w:szCs w:val="15"/>
                <w:color w:val="auto"/>
              </w:rPr>
            </w:pPr>
          </w:p>
        </w:tc>
        <w:tc>
          <w:tcPr>
            <w:tcW w:w="1160" w:type="dxa"/>
            <w:vAlign w:val="bottom"/>
            <w:shd w:val="clear" w:color="auto" w:fill="B2EEDE"/>
          </w:tcPr>
          <w:p>
            <w:pPr>
              <w:spacing w:after="0"/>
              <w:rPr>
                <w:sz w:val="15"/>
                <w:szCs w:val="15"/>
                <w:color w:val="auto"/>
              </w:rPr>
            </w:pPr>
          </w:p>
        </w:tc>
        <w:tc>
          <w:tcPr>
            <w:tcW w:w="96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shd w:val="clear" w:color="auto" w:fill="B2EEDE"/>
          </w:tcPr>
          <w:p>
            <w:pPr>
              <w:spacing w:after="0"/>
              <w:rPr>
                <w:sz w:val="15"/>
                <w:szCs w:val="15"/>
                <w:color w:val="auto"/>
              </w:rPr>
            </w:pPr>
          </w:p>
        </w:tc>
        <w:tc>
          <w:tcPr>
            <w:tcW w:w="220" w:type="dxa"/>
            <w:vAlign w:val="bottom"/>
            <w:shd w:val="clear" w:color="auto" w:fill="B2EEDE"/>
          </w:tcPr>
          <w:p>
            <w:pPr>
              <w:spacing w:after="0"/>
              <w:rPr>
                <w:sz w:val="15"/>
                <w:szCs w:val="15"/>
                <w:color w:val="auto"/>
              </w:rPr>
            </w:pPr>
          </w:p>
        </w:tc>
        <w:tc>
          <w:tcPr>
            <w:tcW w:w="740" w:type="dxa"/>
            <w:vAlign w:val="bottom"/>
            <w:shd w:val="clear" w:color="auto" w:fill="B2EEDE"/>
          </w:tcPr>
          <w:p>
            <w:pPr>
              <w:jc w:val="center"/>
              <w:ind w:right="142"/>
              <w:spacing w:after="0"/>
              <w:rPr>
                <w:sz w:val="20"/>
                <w:szCs w:val="20"/>
                <w:color w:val="auto"/>
              </w:rPr>
            </w:pPr>
            <w:r>
              <w:rPr>
                <w:rFonts w:ascii="Arial" w:cs="Arial" w:eastAsia="Arial" w:hAnsi="Arial"/>
                <w:sz w:val="14"/>
                <w:szCs w:val="14"/>
                <w:b w:val="1"/>
                <w:bCs w:val="1"/>
                <w:color w:val="auto"/>
              </w:rPr>
              <w:t>Year</w:t>
            </w:r>
          </w:p>
        </w:tc>
        <w:tc>
          <w:tcPr>
            <w:tcW w:w="240" w:type="dxa"/>
            <w:vAlign w:val="bottom"/>
            <w:shd w:val="clear" w:color="auto" w:fill="B2EEDE"/>
          </w:tcPr>
          <w:p>
            <w:pPr>
              <w:spacing w:after="0"/>
              <w:rPr>
                <w:sz w:val="15"/>
                <w:szCs w:val="15"/>
                <w:color w:val="auto"/>
              </w:rPr>
            </w:pPr>
          </w:p>
        </w:tc>
        <w:tc>
          <w:tcPr>
            <w:tcW w:w="9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Fiscal Year</w:t>
            </w:r>
          </w:p>
        </w:tc>
        <w:tc>
          <w:tcPr>
            <w:tcW w:w="240" w:type="dxa"/>
            <w:vAlign w:val="bottom"/>
            <w:shd w:val="clear" w:color="auto" w:fill="B2EEDE"/>
          </w:tcPr>
          <w:p>
            <w:pPr>
              <w:spacing w:after="0"/>
              <w:rPr>
                <w:sz w:val="15"/>
                <w:szCs w:val="15"/>
                <w:color w:val="auto"/>
              </w:rPr>
            </w:pPr>
          </w:p>
        </w:tc>
        <w:tc>
          <w:tcPr>
            <w:tcW w:w="92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Distributions</w:t>
            </w:r>
          </w:p>
        </w:tc>
        <w:tc>
          <w:tcPr>
            <w:tcW w:w="140" w:type="dxa"/>
            <w:vAlign w:val="bottom"/>
            <w:shd w:val="clear" w:color="auto" w:fill="B2EEDE"/>
          </w:tcPr>
          <w:p>
            <w:pPr>
              <w:spacing w:after="0"/>
              <w:rPr>
                <w:sz w:val="15"/>
                <w:szCs w:val="15"/>
                <w:color w:val="auto"/>
              </w:rPr>
            </w:pPr>
          </w:p>
        </w:tc>
        <w:tc>
          <w:tcPr>
            <w:tcW w:w="160" w:type="dxa"/>
            <w:vAlign w:val="bottom"/>
            <w:shd w:val="clear" w:color="auto" w:fill="B2EEDE"/>
          </w:tcPr>
          <w:p>
            <w:pPr>
              <w:spacing w:after="0"/>
              <w:rPr>
                <w:sz w:val="15"/>
                <w:szCs w:val="15"/>
                <w:color w:val="auto"/>
              </w:rPr>
            </w:pPr>
          </w:p>
        </w:tc>
        <w:tc>
          <w:tcPr>
            <w:tcW w:w="720" w:type="dxa"/>
            <w:vAlign w:val="bottom"/>
            <w:shd w:val="clear" w:color="auto" w:fill="B2EEDE"/>
          </w:tcPr>
          <w:p>
            <w:pPr>
              <w:jc w:val="center"/>
              <w:ind w:right="27"/>
              <w:spacing w:after="0"/>
              <w:rPr>
                <w:sz w:val="20"/>
                <w:szCs w:val="20"/>
                <w:color w:val="auto"/>
              </w:rPr>
            </w:pPr>
            <w:r>
              <w:rPr>
                <w:rFonts w:ascii="Arial" w:cs="Arial" w:eastAsia="Arial" w:hAnsi="Arial"/>
                <w:sz w:val="14"/>
                <w:szCs w:val="14"/>
                <w:b w:val="1"/>
                <w:bCs w:val="1"/>
                <w:color w:val="auto"/>
              </w:rPr>
              <w:t>Year End</w:t>
            </w:r>
          </w:p>
        </w:tc>
        <w:tc>
          <w:tcPr>
            <w:tcW w:w="100" w:type="dxa"/>
            <w:vAlign w:val="bottom"/>
            <w:shd w:val="clear" w:color="auto" w:fill="B2EEDE"/>
          </w:tcPr>
          <w:p>
            <w:pPr>
              <w:spacing w:after="0"/>
              <w:rPr>
                <w:sz w:val="15"/>
                <w:szCs w:val="15"/>
                <w:color w:val="auto"/>
              </w:rPr>
            </w:pPr>
          </w:p>
        </w:tc>
      </w:tr>
      <w:tr>
        <w:trPr>
          <w:trHeight w:val="224"/>
        </w:trPr>
        <w:tc>
          <w:tcPr>
            <w:tcW w:w="260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Name</w:t>
            </w:r>
          </w:p>
        </w:tc>
        <w:tc>
          <w:tcPr>
            <w:tcW w:w="1160" w:type="dxa"/>
            <w:vAlign w:val="bottom"/>
            <w:tcBorders>
              <w:bottom w:val="single" w:sz="8" w:color="auto"/>
            </w:tcBorders>
            <w:shd w:val="clear" w:color="auto" w:fill="B2EEDE"/>
          </w:tcPr>
          <w:p>
            <w:pPr>
              <w:ind w:left="1000"/>
              <w:spacing w:after="0"/>
              <w:rPr>
                <w:sz w:val="20"/>
                <w:szCs w:val="20"/>
                <w:color w:val="auto"/>
              </w:rPr>
            </w:pPr>
            <w:r>
              <w:rPr>
                <w:rFonts w:ascii="Arial" w:cs="Arial" w:eastAsia="Arial" w:hAnsi="Arial"/>
                <w:sz w:val="14"/>
                <w:szCs w:val="14"/>
                <w:b w:val="1"/>
                <w:bCs w:val="1"/>
                <w:color w:val="auto"/>
              </w:rPr>
              <w:t>​ ​</w:t>
            </w:r>
          </w:p>
        </w:tc>
        <w:tc>
          <w:tcPr>
            <w:tcW w:w="96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B2EEDE"/>
          </w:tcPr>
          <w:p>
            <w:pPr>
              <w:spacing w:after="0"/>
              <w:rPr>
                <w:sz w:val="19"/>
                <w:szCs w:val="19"/>
                <w:color w:val="auto"/>
              </w:rPr>
            </w:pPr>
          </w:p>
        </w:tc>
        <w:tc>
          <w:tcPr>
            <w:tcW w:w="740" w:type="dxa"/>
            <w:vAlign w:val="bottom"/>
            <w:tcBorders>
              <w:bottom w:val="single" w:sz="8" w:color="auto"/>
            </w:tcBorders>
            <w:shd w:val="clear" w:color="auto" w:fill="B2EEDE"/>
          </w:tcPr>
          <w:p>
            <w:pPr>
              <w:jc w:val="center"/>
              <w:ind w:right="102"/>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shd w:val="clear" w:color="auto" w:fill="B2EEDE"/>
          </w:tcPr>
          <w:p>
            <w:pPr>
              <w:spacing w:after="0"/>
              <w:rPr>
                <w:sz w:val="19"/>
                <w:szCs w:val="19"/>
                <w:color w:val="auto"/>
              </w:rPr>
            </w:pPr>
          </w:p>
        </w:tc>
        <w:tc>
          <w:tcPr>
            <w:tcW w:w="700" w:type="dxa"/>
            <w:vAlign w:val="bottom"/>
            <w:tcBorders>
              <w:bottom w:val="single" w:sz="8" w:color="auto"/>
            </w:tcBorders>
            <w:shd w:val="clear" w:color="auto" w:fill="B2EEDE"/>
          </w:tcPr>
          <w:p>
            <w:pPr>
              <w:jc w:val="center"/>
              <w:ind w:right="141"/>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24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92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B2EEDE"/>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B2EEDE"/>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(3)</w:t>
            </w:r>
          </w:p>
        </w:tc>
        <w:tc>
          <w:tcPr>
            <w:tcW w:w="1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26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Sigurdur O. Olafsson</w:t>
            </w: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960" w:type="dxa"/>
            <w:vAlign w:val="bottom"/>
            <w:tcBorders>
              <w:bottom w:val="single" w:sz="8" w:color="auto"/>
            </w:tcBorders>
            <w:gridSpan w:val="2"/>
          </w:tcPr>
          <w:p>
            <w:pPr>
              <w:jc w:val="right"/>
              <w:ind w:right="2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​2,280,808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87,605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auto"/>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r>
              <w:rPr>
                <w:rFonts w:ascii="Arial" w:cs="Arial" w:eastAsia="Arial" w:hAnsi="Arial"/>
                <w:sz w:val="15"/>
                <w:szCs w:val="15"/>
                <w:color w:val="auto"/>
              </w:rPr>
              <w:t xml:space="preserve">2,999,013 </w:t>
            </w:r>
            <w:r>
              <w:rPr>
                <w:rFonts w:ascii="Arial" w:cs="Arial" w:eastAsia="Arial" w:hAnsi="Arial"/>
                <w:sz w:val="28"/>
                <w:szCs w:val="28"/>
                <w:color w:val="auto"/>
                <w:vertAlign w:val="subscript"/>
              </w:rPr>
              <w:t>​​</w:t>
            </w:r>
          </w:p>
        </w:tc>
      </w:tr>
      <w:tr>
        <w:trPr>
          <w:trHeight w:val="250"/>
        </w:trPr>
        <w:tc>
          <w:tcPr>
            <w:tcW w:w="260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Christiana Stamoulis</w:t>
            </w:r>
          </w:p>
        </w:tc>
        <w:tc>
          <w:tcPr>
            <w:tcW w:w="1160" w:type="dxa"/>
            <w:vAlign w:val="bottom"/>
            <w:tcBorders>
              <w:bottom w:val="single" w:sz="8" w:color="auto"/>
            </w:tcBorders>
            <w:shd w:val="clear" w:color="auto" w:fill="E5E5E5"/>
          </w:tcPr>
          <w:p>
            <w:pPr>
              <w:ind w:left="10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2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5E5E5"/>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300" w:type="dxa"/>
            <w:vAlign w:val="bottom"/>
            <w:tcBorders>
              <w:bottom w:val="single" w:sz="8" w:color="auto"/>
            </w:tcBorders>
            <w:gridSpan w:val="2"/>
            <w:shd w:val="clear" w:color="auto" w:fill="E5E5E5"/>
          </w:tcPr>
          <w:p>
            <w:pPr>
              <w:ind w:left="20"/>
              <w:spacing w:after="0"/>
              <w:rPr>
                <w:sz w:val="20"/>
                <w:szCs w:val="20"/>
                <w:color w:val="auto"/>
              </w:rPr>
            </w:pPr>
            <w:r>
              <w:rPr>
                <w:rFonts w:ascii="Arial" w:cs="Arial" w:eastAsia="Arial" w:hAnsi="Arial"/>
                <w:sz w:val="16"/>
                <w:szCs w:val="16"/>
                <w:color w:val="auto"/>
              </w:rPr>
              <w:t>​​ ​ ​</w:t>
            </w:r>
          </w:p>
        </w:tc>
        <w:tc>
          <w:tcPr>
            <w:tcW w:w="82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r>
      <w:tr>
        <w:trPr>
          <w:trHeight w:val="250"/>
        </w:trPr>
        <w:tc>
          <w:tcPr>
            <w:tcW w:w="26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Henriette Nielsen</w:t>
            </w: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2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464,443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38,870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3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 ​ ​</w:t>
            </w:r>
          </w:p>
        </w:tc>
        <w:tc>
          <w:tcPr>
            <w:tcW w:w="82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755,424 </w:t>
            </w:r>
            <w:r>
              <w:rPr>
                <w:rFonts w:ascii="Arial" w:cs="Arial" w:eastAsia="Arial" w:hAnsi="Arial"/>
                <w:sz w:val="28"/>
                <w:szCs w:val="28"/>
                <w:color w:val="auto"/>
                <w:vertAlign w:val="subscript"/>
              </w:rPr>
              <w:t>​​</w:t>
            </w:r>
          </w:p>
        </w:tc>
      </w:tr>
      <w:tr>
        <w:trPr>
          <w:trHeight w:val="250"/>
        </w:trPr>
        <w:tc>
          <w:tcPr>
            <w:tcW w:w="260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Lisa French</w:t>
            </w:r>
          </w:p>
        </w:tc>
        <w:tc>
          <w:tcPr>
            <w:tcW w:w="1160" w:type="dxa"/>
            <w:vAlign w:val="bottom"/>
            <w:tcBorders>
              <w:bottom w:val="single" w:sz="8" w:color="auto"/>
            </w:tcBorders>
            <w:shd w:val="clear" w:color="auto" w:fill="E5E5E5"/>
          </w:tcPr>
          <w:p>
            <w:pPr>
              <w:ind w:left="10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2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color w:val="auto"/>
              </w:rPr>
              <w:t>460,491</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5E5E5"/>
          </w:tcPr>
          <w:p>
            <w:pPr>
              <w:jc w:val="right"/>
              <w:ind w:right="81"/>
              <w:spacing w:after="0"/>
              <w:rPr>
                <w:sz w:val="20"/>
                <w:szCs w:val="20"/>
                <w:color w:val="auto"/>
              </w:rPr>
            </w:pPr>
            <w:r>
              <w:rPr>
                <w:rFonts w:ascii="Arial" w:cs="Arial" w:eastAsia="Arial" w:hAnsi="Arial"/>
                <w:sz w:val="16"/>
                <w:szCs w:val="16"/>
                <w:color w:val="auto"/>
              </w:rPr>
              <w:t>32,054</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300" w:type="dxa"/>
            <w:vAlign w:val="bottom"/>
            <w:tcBorders>
              <w:bottom w:val="single" w:sz="8" w:color="auto"/>
            </w:tcBorders>
            <w:gridSpan w:val="2"/>
            <w:shd w:val="clear" w:color="auto" w:fill="E5E5E5"/>
          </w:tcPr>
          <w:p>
            <w:pPr>
              <w:ind w:left="20"/>
              <w:spacing w:after="0"/>
              <w:rPr>
                <w:sz w:val="20"/>
                <w:szCs w:val="20"/>
                <w:color w:val="auto"/>
              </w:rPr>
            </w:pPr>
            <w:r>
              <w:rPr>
                <w:rFonts w:ascii="Arial" w:cs="Arial" w:eastAsia="Arial" w:hAnsi="Arial"/>
                <w:sz w:val="16"/>
                <w:szCs w:val="16"/>
                <w:color w:val="auto"/>
              </w:rPr>
              <w:t>​​ ​ ​</w:t>
            </w:r>
          </w:p>
        </w:tc>
        <w:tc>
          <w:tcPr>
            <w:tcW w:w="82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722,008 </w:t>
            </w:r>
            <w:r>
              <w:rPr>
                <w:rFonts w:ascii="Arial" w:cs="Arial" w:eastAsia="Arial" w:hAnsi="Arial"/>
                <w:sz w:val="28"/>
                <w:szCs w:val="28"/>
                <w:color w:val="auto"/>
                <w:vertAlign w:val="subscript"/>
              </w:rPr>
              <w:t>​​</w:t>
            </w:r>
          </w:p>
        </w:tc>
      </w:tr>
      <w:tr>
        <w:trPr>
          <w:trHeight w:val="250"/>
        </w:trPr>
        <w:tc>
          <w:tcPr>
            <w:tcW w:w="26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Mark A. Tyndall</w:t>
            </w: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2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459,751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67,114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auto"/>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r>
              <w:rPr>
                <w:rFonts w:ascii="Arial" w:cs="Arial" w:eastAsia="Arial" w:hAnsi="Arial"/>
                <w:sz w:val="15"/>
                <w:szCs w:val="15"/>
                <w:color w:val="auto"/>
              </w:rPr>
              <w:t xml:space="preserve">1,054,636 </w:t>
            </w:r>
            <w:r>
              <w:rPr>
                <w:rFonts w:ascii="Arial" w:cs="Arial" w:eastAsia="Arial" w:hAnsi="Arial"/>
                <w:sz w:val="28"/>
                <w:szCs w:val="28"/>
                <w:color w:val="auto"/>
                <w:vertAlign w:val="subscript"/>
              </w:rPr>
              <w:t>​​</w:t>
            </w:r>
          </w:p>
        </w:tc>
      </w:tr>
      <w:tr>
        <w:trPr>
          <w:trHeight w:val="237"/>
        </w:trPr>
        <w:tc>
          <w:tcPr>
            <w:tcW w:w="26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​Bryan M. Reasons</w:t>
            </w:r>
          </w:p>
        </w:tc>
        <w:tc>
          <w:tcPr>
            <w:tcW w:w="1160" w:type="dxa"/>
            <w:vAlign w:val="bottom"/>
            <w:tcBorders>
              <w:bottom w:val="single" w:sz="8" w:color="auto"/>
            </w:tcBorders>
            <w:shd w:val="clear" w:color="auto" w:fill="E5E5E5"/>
          </w:tcPr>
          <w:p>
            <w:pPr>
              <w:ind w:left="10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color w:val="auto"/>
              </w:rPr>
              <w:t>553,779</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gridSpan w:val="2"/>
            <w:shd w:val="clear" w:color="auto" w:fill="E5E5E5"/>
          </w:tcPr>
          <w:p>
            <w:pPr>
              <w:jc w:val="right"/>
              <w:ind w:right="81"/>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138,749</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auto"/>
            </w:tcBorders>
            <w:gridSpan w:val="4"/>
            <w:shd w:val="clear" w:color="auto" w:fill="E5E5E5"/>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1,662,606 ​​</w:t>
            </w:r>
          </w:p>
        </w:tc>
      </w:tr>
    </w:tbl>
    <w:p>
      <w:pPr>
        <w:spacing w:after="0" w:line="149" w:lineRule="exact"/>
        <w:rPr>
          <w:sz w:val="20"/>
          <w:szCs w:val="20"/>
          <w:color w:val="auto"/>
        </w:rPr>
      </w:pPr>
    </w:p>
    <w:p>
      <w:pPr>
        <w:ind w:left="1040" w:right="120" w:hanging="368"/>
        <w:spacing w:after="0" w:line="281" w:lineRule="auto"/>
        <w:tabs>
          <w:tab w:leader="none" w:pos="10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amounts reported include amounts that we credited to the Supplemental Savings Plan on behalf of the NEOs during fiscal 2025. These amounts are included in the amounts set forth in the All Other Compensation column of the Summary Compensation Table for fiscal 2025.</w:t>
      </w:r>
    </w:p>
    <w:p>
      <w:pPr>
        <w:spacing w:after="0" w:line="27" w:lineRule="exact"/>
        <w:rPr>
          <w:rFonts w:ascii="Arial" w:cs="Arial" w:eastAsia="Arial" w:hAnsi="Arial"/>
          <w:sz w:val="13"/>
          <w:szCs w:val="13"/>
          <w:color w:val="auto"/>
        </w:rPr>
      </w:pPr>
    </w:p>
    <w:p>
      <w:pPr>
        <w:ind w:left="1040" w:right="180" w:hanging="368"/>
        <w:spacing w:after="0" w:line="259" w:lineRule="auto"/>
        <w:tabs>
          <w:tab w:leader="none" w:pos="10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amounts reported include earnings credited to the NEO’s account in the Supplemental Savings Plan. Earnings on amounts credited to the Supplemental Savings Plan reflect investment selections made by each NEO in investment alternatives that generally mirror investment choices offered under the Company’s 401(k) plan.</w:t>
      </w:r>
    </w:p>
    <w:p>
      <w:pPr>
        <w:spacing w:after="0" w:line="42" w:lineRule="exact"/>
        <w:rPr>
          <w:rFonts w:ascii="Arial" w:cs="Arial" w:eastAsia="Arial" w:hAnsi="Arial"/>
          <w:sz w:val="13"/>
          <w:szCs w:val="13"/>
          <w:color w:val="auto"/>
        </w:rPr>
      </w:pPr>
    </w:p>
    <w:p>
      <w:pPr>
        <w:ind w:left="1040" w:hanging="368"/>
        <w:spacing w:after="0"/>
        <w:tabs>
          <w:tab w:leader="none" w:pos="10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amounts reported for each NEO include the NEO’s total balance in the Supplemental Savings Plan as of December 31, 2025.</w:t>
      </w:r>
    </w:p>
    <w:p>
      <w:pPr>
        <w:spacing w:after="0" w:line="200" w:lineRule="exact"/>
        <w:rPr>
          <w:sz w:val="20"/>
          <w:szCs w:val="20"/>
          <w:color w:val="auto"/>
        </w:rPr>
      </w:pPr>
    </w:p>
    <w:p>
      <w:pPr>
        <w:spacing w:after="0" w:line="277"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39</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12" w:lineRule="exact"/>
        <w:rPr>
          <w:sz w:val="20"/>
          <w:szCs w:val="20"/>
          <w:color w:val="auto"/>
        </w:rPr>
      </w:pPr>
    </w:p>
    <w:p>
      <w:pPr>
        <w:ind w:left="680" w:right="100"/>
        <w:spacing w:after="0" w:line="254" w:lineRule="auto"/>
        <w:rPr>
          <w:sz w:val="20"/>
          <w:szCs w:val="20"/>
          <w:color w:val="auto"/>
        </w:rPr>
      </w:pPr>
      <w:r>
        <w:rPr>
          <w:rFonts w:ascii="Arial" w:cs="Arial" w:eastAsia="Arial" w:hAnsi="Arial"/>
          <w:sz w:val="16"/>
          <w:szCs w:val="16"/>
          <w:i w:val="1"/>
          <w:iCs w:val="1"/>
          <w:color w:val="auto"/>
        </w:rPr>
        <w:t xml:space="preserve">General Severance Provisions </w:t>
      </w:r>
      <w:r>
        <w:rPr>
          <w:rFonts w:ascii="Arial" w:cs="Arial" w:eastAsia="Arial" w:hAnsi="Arial"/>
          <w:sz w:val="16"/>
          <w:szCs w:val="16"/>
          <w:color w:val="auto"/>
        </w:rPr>
        <w:t>. Except where otherwise noted, the following descriptions of the severance provisions of 2024 NEO</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(which are further described above under the section entitled “— Narrative Disclosure to Summary Compensation Table and Grants of Plan-Based Awards Table — Employment Agreements”) describe the terms as in effect on December 31, 2025. The following descriptions do not apply to Ms. Stamoulis’s termination benefits or Mr. Olafsson’s termination benefits, which are further described below under the headings “Ms. Stamoulis’s Severance Provisions” and “Mr. Olafsson’s Severance Provisions”, respectively.</w:t>
      </w:r>
    </w:p>
    <w:p>
      <w:pPr>
        <w:spacing w:after="0" w:line="155" w:lineRule="exact"/>
        <w:rPr>
          <w:sz w:val="20"/>
          <w:szCs w:val="20"/>
          <w:color w:val="auto"/>
        </w:rPr>
      </w:pPr>
    </w:p>
    <w:p>
      <w:pPr>
        <w:ind w:left="680" w:right="60"/>
        <w:spacing w:after="0" w:line="250" w:lineRule="auto"/>
        <w:rPr>
          <w:sz w:val="20"/>
          <w:szCs w:val="20"/>
          <w:color w:val="auto"/>
        </w:rPr>
      </w:pPr>
      <w:r>
        <w:rPr>
          <w:rFonts w:ascii="Arial" w:cs="Arial" w:eastAsia="Arial" w:hAnsi="Arial"/>
          <w:sz w:val="16"/>
          <w:szCs w:val="16"/>
          <w:color w:val="auto"/>
        </w:rPr>
        <w:t>Under the 2024 NEO Agreements, in the event that the NEO’s employment is terminated by us without Cause or by the NEO with Good Reason (each as defined below), the NEO is entitled to the following severance compensation and benefits: (i) an amount equal to 1.5x the sum of his or her annual base salary and target annual bonus payable in installments; (ii) a lump sum payment of a prorated target annual bonus with respect to the year in which the termination occurs; (iii) a lump sum payment equal to 12 months of COBRA premiums that would have been payable by the NEO if he or she had elected to continue coverage under our health and welfare plans; and (iv) our coverage of the cost of outplacement services for up to 12 months. In March 2026, the 2024 NEO Agreements were amended to provide that the severance amount described in (i) in the immediately preceding sentence will be paid in lump sum rather than installments unless such payments must be paid in installments to avoid any taxes, interest or penalties under Internal Revenue Code Section 409A. The March 2026 amendments to the 2024 NEO Agreements also expanded the definition of “Good Reason” to include a material diminution of position, responsibilities, duties or authorities. These amendments were intended to create better alignment of certain contractual terms among the Company’s Executive Team.</w:t>
      </w:r>
    </w:p>
    <w:p>
      <w:pPr>
        <w:spacing w:after="0" w:line="146" w:lineRule="exact"/>
        <w:rPr>
          <w:sz w:val="20"/>
          <w:szCs w:val="20"/>
          <w:color w:val="auto"/>
        </w:rPr>
      </w:pPr>
    </w:p>
    <w:p>
      <w:pPr>
        <w:ind w:left="680" w:right="140"/>
        <w:spacing w:after="0" w:line="277" w:lineRule="auto"/>
        <w:rPr>
          <w:sz w:val="20"/>
          <w:szCs w:val="20"/>
          <w:color w:val="auto"/>
        </w:rPr>
      </w:pPr>
      <w:r>
        <w:rPr>
          <w:rFonts w:ascii="Arial" w:cs="Arial" w:eastAsia="Arial" w:hAnsi="Arial"/>
          <w:sz w:val="15"/>
          <w:szCs w:val="15"/>
          <w:color w:val="auto"/>
        </w:rPr>
        <w:t>In the event that the NEO’s employment is terminated by us without Cause or by the NEO with Good Reason during the period beginning 120 days prior to and ending 12 months after a Change in Control (as defined in the agreement), the NEO will receive the foregoing severance benefits with the following enhancements: cash severance will be paid in lump sum on the first payroll date following the effective date of the release or the Change in Control, if later, and all of the NEO’s unvested and outstanding RSUs, PSUs and other equity-based awards will immediately vest as of the effective date of the release or the Change in Control, if later.</w:t>
      </w:r>
    </w:p>
    <w:p>
      <w:pPr>
        <w:spacing w:after="0" w:line="125" w:lineRule="exact"/>
        <w:rPr>
          <w:sz w:val="20"/>
          <w:szCs w:val="20"/>
          <w:color w:val="auto"/>
        </w:rPr>
      </w:pPr>
    </w:p>
    <w:p>
      <w:pPr>
        <w:ind w:left="680" w:right="140"/>
        <w:spacing w:after="0" w:line="256" w:lineRule="auto"/>
        <w:rPr>
          <w:sz w:val="20"/>
          <w:szCs w:val="20"/>
          <w:color w:val="auto"/>
        </w:rPr>
      </w:pPr>
      <w:r>
        <w:rPr>
          <w:rFonts w:ascii="Arial" w:cs="Arial" w:eastAsia="Arial" w:hAnsi="Arial"/>
          <w:sz w:val="16"/>
          <w:szCs w:val="16"/>
          <w:color w:val="auto"/>
        </w:rPr>
        <w:t>The terms of the 2024 NEO Agreements provide for certain benefits upon the NEO’s termination of employment due to death or disability. NEOs are eligible to receive a prorated target bonus upon a termination of employment as a result of the NEO’s death or disability and, except upon termination of the NEO’s employment by us for Cause, any unpaid annual bonus earned in a prior calendar year, based on the actual level of achievement of the applicable targets or performance as determined by the HRCC or the Board at the end of such calendar year.</w:t>
      </w:r>
    </w:p>
    <w:p>
      <w:pPr>
        <w:spacing w:after="0" w:line="153" w:lineRule="exact"/>
        <w:rPr>
          <w:sz w:val="20"/>
          <w:szCs w:val="20"/>
          <w:color w:val="auto"/>
        </w:rPr>
      </w:pPr>
    </w:p>
    <w:p>
      <w:pPr>
        <w:ind w:left="680" w:right="60"/>
        <w:spacing w:after="0" w:line="254" w:lineRule="auto"/>
        <w:rPr>
          <w:sz w:val="20"/>
          <w:szCs w:val="20"/>
          <w:color w:val="auto"/>
        </w:rPr>
      </w:pPr>
      <w:r>
        <w:rPr>
          <w:rFonts w:ascii="Arial" w:cs="Arial" w:eastAsia="Arial" w:hAnsi="Arial"/>
          <w:sz w:val="16"/>
          <w:szCs w:val="16"/>
          <w:color w:val="auto"/>
        </w:rPr>
        <w:t>For purposes of the 2024 NEO Agreements, “Cause” means, as more fully described in the agreement, (i) substantial failure or refusal of the NEO to perform the duties and responsibilities of the NEO’s job as required by us other than due to disability; (ii) a material violation of any fiduciary duty or duty of loyalty owed to us; (iii) conviction of misdemeanor (other than a traffic offense) or felony; (iv) any acts of fraud, embezzlement or theft against us; (v) violation of a material rule or policy; (vi) unauthorized disclosure of any of our trade secrets or confidential information or (vii) other egregious conduct that has or could have a serious and detrimental impact on us or our employees.</w:t>
      </w:r>
    </w:p>
    <w:p>
      <w:pPr>
        <w:spacing w:after="0" w:line="141" w:lineRule="exact"/>
        <w:rPr>
          <w:sz w:val="20"/>
          <w:szCs w:val="20"/>
          <w:color w:val="auto"/>
        </w:rPr>
      </w:pPr>
    </w:p>
    <w:p>
      <w:pPr>
        <w:ind w:left="680" w:right="100"/>
        <w:spacing w:after="0" w:line="269" w:lineRule="auto"/>
        <w:rPr>
          <w:sz w:val="20"/>
          <w:szCs w:val="20"/>
          <w:color w:val="auto"/>
        </w:rPr>
      </w:pPr>
      <w:r>
        <w:rPr>
          <w:rFonts w:ascii="Arial" w:cs="Arial" w:eastAsia="Arial" w:hAnsi="Arial"/>
          <w:sz w:val="15"/>
          <w:szCs w:val="15"/>
          <w:color w:val="auto"/>
        </w:rPr>
        <w:t>For purposes of the 2024 NEO Agreements, the definition of “Good Reason” in effect on December 31, 2025 included, as more fully described in the agreements, a retirement or termination of employment by the NEO that is not initiated by us and that is caused by any one or more of the following events, in each case, without the NEO’s written consent: (i) we require the NEO to relocate to a principal place of employment more than fifty miles from the NEO’s existing place of employment, which materially increases the NEO’s commuting time; (ii) we materially reduce the NEO’s base salary or target annual bonus opportunity, other than a reduction of less than 10% that is made at the same time to the base salary or target annual bonus opportunity, as applicable, of all similarly situated employees; or (iii) a requirement that the NEO report to any other person, position or entity other than the CEO. Additionally, “Good Reason” will only exist if the NEO provides written notice stating the Good Reason event, we do not cure such event and the NEO terminates employment within a certain period of time after the end of the cure period. As noted above, the definition of Good Reason was expanded in March 2026 to include a material diminution in NEO’s position, responsibilities, duties or authorities.</w:t>
      </w:r>
    </w:p>
    <w:p>
      <w:pPr>
        <w:spacing w:after="0" w:line="132" w:lineRule="exact"/>
        <w:rPr>
          <w:sz w:val="20"/>
          <w:szCs w:val="20"/>
          <w:color w:val="auto"/>
        </w:rPr>
      </w:pPr>
    </w:p>
    <w:p>
      <w:pPr>
        <w:ind w:left="680" w:right="580"/>
        <w:spacing w:after="0" w:line="286" w:lineRule="auto"/>
        <w:rPr>
          <w:sz w:val="20"/>
          <w:szCs w:val="20"/>
          <w:color w:val="auto"/>
        </w:rPr>
      </w:pPr>
      <w:r>
        <w:rPr>
          <w:rFonts w:ascii="Arial" w:cs="Arial" w:eastAsia="Arial" w:hAnsi="Arial"/>
          <w:sz w:val="16"/>
          <w:szCs w:val="16"/>
          <w:color w:val="auto"/>
        </w:rPr>
        <w:t>All of the foregoing severance compensation and benefits are subject to the NEO’s execution and non-revocation of a general release of claims against us and his or her continued compliance with the restrictive covenants described below.</w:t>
      </w:r>
    </w:p>
    <w:p>
      <w:pPr>
        <w:spacing w:after="0" w:line="129" w:lineRule="exact"/>
        <w:rPr>
          <w:sz w:val="20"/>
          <w:szCs w:val="20"/>
          <w:color w:val="auto"/>
        </w:rPr>
      </w:pPr>
    </w:p>
    <w:p>
      <w:pPr>
        <w:ind w:left="680" w:right="80"/>
        <w:spacing w:after="0" w:line="256" w:lineRule="auto"/>
        <w:rPr>
          <w:sz w:val="20"/>
          <w:szCs w:val="20"/>
          <w:color w:val="auto"/>
        </w:rPr>
      </w:pPr>
      <w:r>
        <w:rPr>
          <w:rFonts w:ascii="Arial" w:cs="Arial" w:eastAsia="Arial" w:hAnsi="Arial"/>
          <w:sz w:val="16"/>
          <w:szCs w:val="16"/>
          <w:color w:val="auto"/>
        </w:rPr>
        <w:t>The 2024 NEO Agreements provide that the NEOs will be restricted from soliciting our employees and business partners during the 12-month period following termination of employment for any reason (the “Executive Restricted Period”). The 2024 NEO Agreements also provide that the NEOs will be restricted from competing with us during the Executive Restricted Period; provided that the Executive Restricted Period will be reduced to six months for terminations that occur after June 30, 2025, and the non-competition provisions shall not apply following termination of employment by us without Cause or by the NEO with Good Reason.</w:t>
      </w:r>
    </w:p>
    <w:p>
      <w:pPr>
        <w:spacing w:after="0" w:line="139" w:lineRule="exact"/>
        <w:rPr>
          <w:sz w:val="20"/>
          <w:szCs w:val="20"/>
          <w:color w:val="auto"/>
        </w:rPr>
      </w:pPr>
    </w:p>
    <w:p>
      <w:pPr>
        <w:ind w:left="680" w:right="280"/>
        <w:spacing w:after="0" w:line="321" w:lineRule="auto"/>
        <w:rPr>
          <w:sz w:val="20"/>
          <w:szCs w:val="20"/>
          <w:color w:val="auto"/>
        </w:rPr>
      </w:pPr>
      <w:r>
        <w:rPr>
          <w:rFonts w:ascii="Arial" w:cs="Arial" w:eastAsia="Arial" w:hAnsi="Arial"/>
          <w:sz w:val="15"/>
          <w:szCs w:val="15"/>
          <w:i w:val="1"/>
          <w:iCs w:val="1"/>
          <w:color w:val="auto"/>
        </w:rPr>
        <w:t xml:space="preserve">Ms. Stamoulis’s Severance Provisions. </w:t>
      </w:r>
      <w:r>
        <w:rPr>
          <w:rFonts w:ascii="Arial" w:cs="Arial" w:eastAsia="Arial" w:hAnsi="Arial"/>
          <w:sz w:val="15"/>
          <w:szCs w:val="15"/>
          <w:color w:val="auto"/>
        </w:rPr>
        <w:t>Under the CFO Agreement, Ms. Stamoulis is entitled to substantially the same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as the 2024 NEO Agreement described above, except that (i) the definition of “Good Reason” in the CFO Agreement also</w:t>
      </w:r>
    </w:p>
    <w:p>
      <w:pPr>
        <w:spacing w:after="0" w:line="269"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​40 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6" w:lineRule="exact"/>
        <w:rPr>
          <w:sz w:val="20"/>
          <w:szCs w:val="20"/>
          <w:color w:val="auto"/>
        </w:rPr>
      </w:pPr>
    </w:p>
    <w:p>
      <w:pPr>
        <w:ind w:left="680" w:right="40"/>
        <w:spacing w:after="0" w:line="262" w:lineRule="auto"/>
        <w:rPr>
          <w:sz w:val="20"/>
          <w:szCs w:val="20"/>
          <w:color w:val="auto"/>
        </w:rPr>
      </w:pPr>
      <w:r>
        <w:rPr>
          <w:rFonts w:ascii="Arial" w:cs="Arial" w:eastAsia="Arial" w:hAnsi="Arial"/>
          <w:sz w:val="16"/>
          <w:szCs w:val="16"/>
          <w:color w:val="auto"/>
        </w:rPr>
        <w:t>includes material diminution of Ms. Stamoulis’s title, responsibilities, duties or authorities and a material breach by the Company of the CFO Agreement, (ii) upon a termination without Cause or for Good Reason, Ms. Stamoulis is entitled to (a) a lump sum payment equal to 18 months of COBRA premiums that would have been payable by Ms. Stamoulis if she had elected to continue coverage under our health and welfare plans, (b) full vesting of the unvested portion of her CFO Equity Inducement Award and Top-Up Award, and (c) payment of any unpaid portion of her CFO Cash Inducement Award payable in lump sum on the first regular payroll date following the effective date of her general release of claims, and (iii) Ms. Stamoulis will be restricted from soliciting our employees and business partners during the 12-month period following termination of employment for any reason and will be restricted from competing with us during the 12-month period following termination of employment for any reason, provided that the restriction on competing with us will not apply in the event of her termination by the Company without Cause or termination by her for Good Reason.</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Mr. Olafsson’s Severance Provisions. </w:t>
      </w:r>
      <w:r>
        <w:rPr>
          <w:rFonts w:ascii="Arial" w:cs="Arial" w:eastAsia="Arial" w:hAnsi="Arial"/>
          <w:sz w:val="16"/>
          <w:szCs w:val="16"/>
          <w:color w:val="auto"/>
        </w:rPr>
        <w:t>Under the 2025 CEO Agreement and the 2026 CEO Agreement, in the event that</w:t>
      </w:r>
    </w:p>
    <w:p>
      <w:pPr>
        <w:spacing w:after="0" w:line="21" w:lineRule="exact"/>
        <w:rPr>
          <w:sz w:val="20"/>
          <w:szCs w:val="20"/>
          <w:color w:val="auto"/>
        </w:rPr>
      </w:pPr>
    </w:p>
    <w:p>
      <w:pPr>
        <w:ind w:left="680" w:right="80"/>
        <w:spacing w:after="0" w:line="275" w:lineRule="auto"/>
        <w:rPr>
          <w:sz w:val="20"/>
          <w:szCs w:val="20"/>
          <w:color w:val="auto"/>
        </w:rPr>
      </w:pPr>
      <w:r>
        <w:rPr>
          <w:rFonts w:ascii="Arial" w:cs="Arial" w:eastAsia="Arial" w:hAnsi="Arial"/>
          <w:sz w:val="15"/>
          <w:szCs w:val="15"/>
          <w:color w:val="auto"/>
        </w:rPr>
        <w:t>Mr. Olafsson’s employment is terminated by us without Cause, by Mr. Olafsson with Good Reason or as a result of his death or Disability (each as defined below), Mr. Olafsson will be entitled to the following severance compensation and benefits: (i) a lump sum payment of an amount equal to 2.5x the sum of his annual base salary and target annual bonus; (ii) a lump sum payment of the CEO Cash Inducement Award (if not yet paid) and a prorated target annual bonus with respect to the year in which the termination occurs;</w:t>
      </w:r>
    </w:p>
    <w:p>
      <w:pPr>
        <w:spacing w:after="0" w:line="2" w:lineRule="exact"/>
        <w:rPr>
          <w:sz w:val="20"/>
          <w:szCs w:val="20"/>
          <w:color w:val="auto"/>
        </w:rPr>
      </w:pPr>
    </w:p>
    <w:p>
      <w:pPr>
        <w:ind w:left="680" w:right="100" w:hanging="8"/>
        <w:spacing w:after="0" w:line="262" w:lineRule="auto"/>
        <w:tabs>
          <w:tab w:leader="none" w:pos="933" w:val="left"/>
        </w:tabs>
        <w:numPr>
          <w:ilvl w:val="0"/>
          <w:numId w:val="47"/>
        </w:numPr>
        <w:rPr>
          <w:rFonts w:ascii="Arial" w:cs="Arial" w:eastAsia="Arial" w:hAnsi="Arial"/>
          <w:sz w:val="16"/>
          <w:szCs w:val="16"/>
          <w:color w:val="auto"/>
        </w:rPr>
      </w:pPr>
      <w:r>
        <w:rPr>
          <w:rFonts w:ascii="Arial" w:cs="Arial" w:eastAsia="Arial" w:hAnsi="Arial"/>
          <w:sz w:val="16"/>
          <w:szCs w:val="16"/>
          <w:color w:val="auto"/>
        </w:rPr>
        <w:t>immediate vesting of the CEO Equity Inducement Award and the Founders Grant; (iv) in the case of the 2026 CEO Agreement, any Annual LTI Awards granted in 2026 or later will be treated in accordance with the applicable plan and related award agreements, provided that to the extent Mr. Olafsson’s termination without Cause or for Good Reason occurs following the parties failing to mutually agree to extend the term beyond the Expiration Date, Mr. Olafsson will immediately vest in any RSUs that would have otherwise vested in the first quarter of 2028 and will immediately vest in any prorated portion of any unvested PSUs as of the date of termination in the target amount of PSUs subject to the awards; and (v) continued COBRA coverage or, if no longer eligible for Company-provided COBRA, monthly cash payments equal to the applicable COBRA premium amount for up to 30 months following Mr. Olafsson’s termination.</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For purposes of the 2025 CEO Agreement and the 2026 CEO Agreement, “Cause” means, as more fully described in the agreement:</w:t>
      </w:r>
    </w:p>
    <w:p>
      <w:pPr>
        <w:spacing w:after="0" w:line="33" w:lineRule="exact"/>
        <w:rPr>
          <w:sz w:val="20"/>
          <w:szCs w:val="20"/>
          <w:color w:val="auto"/>
        </w:rPr>
      </w:pPr>
    </w:p>
    <w:p>
      <w:pPr>
        <w:ind w:left="680" w:right="400" w:hanging="8"/>
        <w:spacing w:after="0" w:line="287" w:lineRule="auto"/>
        <w:tabs>
          <w:tab w:leader="none" w:pos="864" w:val="left"/>
        </w:tabs>
        <w:numPr>
          <w:ilvl w:val="0"/>
          <w:numId w:val="48"/>
        </w:numPr>
        <w:rPr>
          <w:rFonts w:ascii="Arial" w:cs="Arial" w:eastAsia="Arial" w:hAnsi="Arial"/>
          <w:sz w:val="15"/>
          <w:szCs w:val="15"/>
          <w:color w:val="auto"/>
        </w:rPr>
      </w:pPr>
      <w:r>
        <w:rPr>
          <w:rFonts w:ascii="Arial" w:cs="Arial" w:eastAsia="Arial" w:hAnsi="Arial"/>
          <w:sz w:val="15"/>
          <w:szCs w:val="15"/>
          <w:color w:val="auto"/>
        </w:rPr>
        <w:t>substantial refusal of the CEO to perform the duties and responsibilities of his job as required by the Board other than due to incapacity; (ii) a material violation of any fiduciary duty or duty of loyalty owed to us; (iii) conviction of misdemeanor (other than a traffic offense) involving moral turpitude or felony; (iv) any willful act or omission of fraud, embezzlement or theft; (v) any uncured violation of a material rule or policy; or (vi) any unauthorized disclosure of any of our trade secrets or confidential information.</w:t>
      </w:r>
    </w:p>
    <w:p>
      <w:pPr>
        <w:spacing w:after="0" w:line="131" w:lineRule="exact"/>
        <w:rPr>
          <w:sz w:val="20"/>
          <w:szCs w:val="20"/>
          <w:color w:val="auto"/>
        </w:rPr>
      </w:pPr>
    </w:p>
    <w:p>
      <w:pPr>
        <w:ind w:left="680" w:right="80"/>
        <w:spacing w:after="0" w:line="262" w:lineRule="auto"/>
        <w:rPr>
          <w:sz w:val="20"/>
          <w:szCs w:val="20"/>
          <w:color w:val="auto"/>
        </w:rPr>
      </w:pPr>
      <w:r>
        <w:rPr>
          <w:rFonts w:ascii="Arial" w:cs="Arial" w:eastAsia="Arial" w:hAnsi="Arial"/>
          <w:sz w:val="16"/>
          <w:szCs w:val="16"/>
          <w:color w:val="auto"/>
        </w:rPr>
        <w:t>For purposes of the 2025 CEO Agreement and the 2026 CEO Agreement, “Good Reason” means, as more fully described in the agreements, a retirement or termination of employment by the CEO that is not initiated by us and that is caused by any one or more of the following events, in each case, without the CEO’s written consent: (i) a material reduction in his base salary or target bonus (as defined in agreement) opportunity; (ii) a material diminution in his title or authority, duties, reporting lines or responsibilities; (iii) a relocation of his principal place of employment by more than 50 miles; (iv) the CEO does not timely receive the CEO Inducement Awards; (v) failure of a successor to us to agree to assume and honor the agreement; or (vi) any other material breach of the agreement or any material compensation agreement by us or our affiliates. Additionally, “Good Reason” will only exist if the CEO provides written notice stating the Good Reason event, we do not cure such event, and the CEO terminates employment within a certain period of time after the end of the cure period.</w:t>
      </w:r>
    </w:p>
    <w:p>
      <w:pPr>
        <w:spacing w:after="0" w:line="150" w:lineRule="exact"/>
        <w:rPr>
          <w:sz w:val="20"/>
          <w:szCs w:val="20"/>
          <w:color w:val="auto"/>
        </w:rPr>
      </w:pPr>
    </w:p>
    <w:p>
      <w:pPr>
        <w:ind w:left="680" w:right="300"/>
        <w:spacing w:after="0" w:line="304" w:lineRule="auto"/>
        <w:rPr>
          <w:sz w:val="20"/>
          <w:szCs w:val="20"/>
          <w:color w:val="auto"/>
        </w:rPr>
      </w:pPr>
      <w:r>
        <w:rPr>
          <w:rFonts w:ascii="Arial" w:cs="Arial" w:eastAsia="Arial" w:hAnsi="Arial"/>
          <w:sz w:val="16"/>
          <w:szCs w:val="16"/>
          <w:color w:val="auto"/>
        </w:rPr>
        <w:t>All of the foregoing severance compensation and benefits are subject to Mr. Olafsson’s execution and non-revocation of a general release of claims against us and his continued compliance with the restrictive covenants described below.</w:t>
      </w:r>
    </w:p>
    <w:p>
      <w:pPr>
        <w:spacing w:after="0" w:line="114" w:lineRule="exact"/>
        <w:rPr>
          <w:sz w:val="20"/>
          <w:szCs w:val="20"/>
          <w:color w:val="auto"/>
        </w:rPr>
      </w:pPr>
    </w:p>
    <w:p>
      <w:pPr>
        <w:ind w:left="680" w:right="40"/>
        <w:spacing w:after="0" w:line="269" w:lineRule="auto"/>
        <w:rPr>
          <w:sz w:val="20"/>
          <w:szCs w:val="20"/>
          <w:color w:val="auto"/>
        </w:rPr>
      </w:pPr>
      <w:r>
        <w:rPr>
          <w:rFonts w:ascii="Arial" w:cs="Arial" w:eastAsia="Arial" w:hAnsi="Arial"/>
          <w:sz w:val="16"/>
          <w:szCs w:val="16"/>
          <w:color w:val="auto"/>
        </w:rPr>
        <w:t>The 2025 CEO Agreement provides that Mr. Olafsson will be restricted from soliciting our employees and business partners during the 12-month period following his termination of employment for any reason (the “Restricted Period”). The 2025 CEO Agreement also provides that Mr. Olafsson will be restricted from competing with us during the Restricted Period, provided that the non-competition provisions shall not apply following Mr. Olafsson’s termination of employment if the date of termination is on or after January 1, 2027 or if Mr. Olafsson’s employment is terminated by us without Cause or by Mr. Olafsson with Good Reason.</w:t>
      </w:r>
    </w:p>
    <w:p>
      <w:pPr>
        <w:spacing w:after="0" w:line="143" w:lineRule="exact"/>
        <w:rPr>
          <w:sz w:val="20"/>
          <w:szCs w:val="20"/>
          <w:color w:val="auto"/>
        </w:rPr>
      </w:pPr>
    </w:p>
    <w:p>
      <w:pPr>
        <w:ind w:left="680" w:right="40"/>
        <w:spacing w:after="0" w:line="280" w:lineRule="auto"/>
        <w:rPr>
          <w:sz w:val="20"/>
          <w:szCs w:val="20"/>
          <w:color w:val="auto"/>
        </w:rPr>
      </w:pPr>
      <w:r>
        <w:rPr>
          <w:rFonts w:ascii="Arial" w:cs="Arial" w:eastAsia="Arial" w:hAnsi="Arial"/>
          <w:sz w:val="15"/>
          <w:szCs w:val="15"/>
          <w:i w:val="1"/>
          <w:iCs w:val="1"/>
          <w:color w:val="auto"/>
        </w:rPr>
        <w:t xml:space="preserve">Equity Grants. </w:t>
      </w:r>
      <w:r>
        <w:rPr>
          <w:rFonts w:ascii="Arial" w:cs="Arial" w:eastAsia="Arial" w:hAnsi="Arial"/>
          <w:sz w:val="15"/>
          <w:szCs w:val="15"/>
          <w:color w:val="auto"/>
        </w:rPr>
        <w:t>As further described above under the section entitled “Compensation Discussion and Analysis — Fiscal 2025</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Compensation — Long-Term Incentive Compensation — 2024 Awards,” we granted certain post-emergence equity awards to each of our NEOs (except Ms. Stamoulis who was not employed by us at that time), which are subject to the 2024 Plan and individual written award agreements. Mr. Olafsson’s award agreements provide that in the event of his termination of employment by us without Cause (as defined in the 2025 CEO Agreement), or in the case of his departure for Good Reason (as defined in the 2025 CEO Agreement), his unvested RSUs (inclusive of the Converted PSUs) will vest in full. Mr. Olafsson’s award agreements provide that his RSUs (inclusive of the Converted PSUs) will become fully vested on a Change in Control (as defined the applicable award agreement), subject to his continued service through such Change in Control. In the event of the CEO’s death or disability, or, in the case of grants made prior to 2025, in the case of the CEO’s termination of employment for Normal Retirement (as defined in the 2024 Plan), the CEO’s unvested RSUs (inclusive of the Converted PSUs) will vest in full. In the event of the CEO’s termination of employment for Early Retirement (as defined in the 2024 Plan), a pro rata portion of the CEO’s unvested RSUs granted prior to</w:t>
      </w:r>
    </w:p>
    <w:p>
      <w:pPr>
        <w:sectPr>
          <w:pgSz w:w="11900" w:h="16838" w:orient="portrait"/>
          <w:cols w:equalWidth="0" w:num="1">
            <w:col w:w="10100"/>
          </w:cols>
          <w:pgMar w:left="580" w:top="97" w:right="1219" w:bottom="1440" w:gutter="0" w:footer="0" w:header="0"/>
        </w:sectPr>
      </w:pPr>
    </w:p>
    <w:p>
      <w:pPr>
        <w:spacing w:after="0" w:line="156"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41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6" w:lineRule="exact"/>
        <w:rPr>
          <w:sz w:val="20"/>
          <w:szCs w:val="20"/>
          <w:color w:val="auto"/>
        </w:rPr>
      </w:pPr>
    </w:p>
    <w:p>
      <w:pPr>
        <w:ind w:left="680" w:right="240"/>
        <w:spacing w:after="0" w:line="286" w:lineRule="auto"/>
        <w:rPr>
          <w:sz w:val="20"/>
          <w:szCs w:val="20"/>
          <w:color w:val="auto"/>
        </w:rPr>
      </w:pPr>
      <w:r>
        <w:rPr>
          <w:rFonts w:ascii="Arial" w:cs="Arial" w:eastAsia="Arial" w:hAnsi="Arial"/>
          <w:sz w:val="16"/>
          <w:szCs w:val="16"/>
          <w:color w:val="auto"/>
        </w:rPr>
        <w:t>2025 and the full number of the Converted PSUs will vest. Substantially the same terms apply to the 2025 CEO Equity Inducement Award, other than the retirement vesting provisions.</w:t>
      </w:r>
    </w:p>
    <w:p>
      <w:pPr>
        <w:spacing w:after="0" w:line="129" w:lineRule="exact"/>
        <w:rPr>
          <w:sz w:val="20"/>
          <w:szCs w:val="20"/>
          <w:color w:val="auto"/>
        </w:rPr>
      </w:pPr>
    </w:p>
    <w:p>
      <w:pPr>
        <w:ind w:left="680" w:right="60"/>
        <w:spacing w:after="0" w:line="264" w:lineRule="auto"/>
        <w:rPr>
          <w:sz w:val="20"/>
          <w:szCs w:val="20"/>
          <w:color w:val="auto"/>
        </w:rPr>
      </w:pPr>
      <w:r>
        <w:rPr>
          <w:rFonts w:ascii="Arial" w:cs="Arial" w:eastAsia="Arial" w:hAnsi="Arial"/>
          <w:sz w:val="16"/>
          <w:szCs w:val="16"/>
          <w:color w:val="auto"/>
        </w:rPr>
        <w:t>The equity award agreements, as amended, for Ms. Nielsen, Ms. French, Mr. Tyndall and Mr. Reasons provide that in the event of an NEO’s termination of employment by us without Cause, or in the case of an NEO’s departure for Good Reason (each as defined in the 2024 NEO Agreements), the NEO’s unvested RSUs (inclusive of the Converted PSUs) will vest in full. The NEOs’ 2024 award agreements provide that RSUs (inclusive of the Converted PSUs) will become fully vested on a Change in Control (as defined the applicable award agreement), subject to the NEO’s continued service through such Change in Control. In the event of an NEO’s death or disability, or, in the case of RSUs granted prior to 2025, in the case of an NEO’s termination of employment for Normal Retirement (as defined in the 2024 Plan), the NEO’s unvested RSUs (inclusive of the Converted PSUs) will vest in full. In the event of an NEO’s termination of employment for Early Retirement (as defined in the 2024 Plan), a pro rata portion of the NEO’s unvested RSUs granted prior to 2025 will vest and the full number of the Converted PSUs will vest.</w:t>
      </w:r>
    </w:p>
    <w:p>
      <w:pPr>
        <w:spacing w:after="0" w:line="150" w:lineRule="exact"/>
        <w:rPr>
          <w:sz w:val="20"/>
          <w:szCs w:val="20"/>
          <w:color w:val="auto"/>
        </w:rPr>
      </w:pPr>
    </w:p>
    <w:p>
      <w:pPr>
        <w:ind w:left="680" w:right="40"/>
        <w:spacing w:after="0" w:line="271" w:lineRule="auto"/>
        <w:rPr>
          <w:sz w:val="20"/>
          <w:szCs w:val="20"/>
          <w:color w:val="auto"/>
        </w:rPr>
      </w:pPr>
      <w:r>
        <w:rPr>
          <w:rFonts w:ascii="Arial" w:cs="Arial" w:eastAsia="Arial" w:hAnsi="Arial"/>
          <w:sz w:val="16"/>
          <w:szCs w:val="16"/>
          <w:color w:val="auto"/>
        </w:rPr>
        <w:t>Under the 2024 Plan, Normal Retirement occurs where an NEO terminates employment after attaining age 60 and the sum of the NEO’s age and years of service equals at least 70 and Early Retirement occurs where an NEO terminates employment after attaining age 55, the sum of the NEO’s age and years of service equals at least 60 and the NEO has completed at least five years of service to us.</w:t>
      </w:r>
    </w:p>
    <w:p>
      <w:pPr>
        <w:spacing w:after="0" w:line="141" w:lineRule="exact"/>
        <w:rPr>
          <w:sz w:val="20"/>
          <w:szCs w:val="20"/>
          <w:color w:val="auto"/>
        </w:rPr>
      </w:pPr>
    </w:p>
    <w:p>
      <w:pPr>
        <w:ind w:left="680" w:right="100"/>
        <w:spacing w:after="0" w:line="285" w:lineRule="auto"/>
        <w:rPr>
          <w:sz w:val="20"/>
          <w:szCs w:val="20"/>
          <w:color w:val="auto"/>
        </w:rPr>
      </w:pPr>
      <w:r>
        <w:rPr>
          <w:rFonts w:ascii="Arial" w:cs="Arial" w:eastAsia="Arial" w:hAnsi="Arial"/>
          <w:sz w:val="15"/>
          <w:szCs w:val="15"/>
          <w:color w:val="auto"/>
        </w:rPr>
        <w:t>The award agreement for the CFO Inducement Equity Award provides that in the event of the CFO’s termination of employment by us without Cause, or in the case of the CFO’s departure for Good Reason (each as defined in the CFO Agreement), the CFO’s unvested RSUs will vest in full. In the event of CFO’s death or disability, the CFO’s unvested RSUs will vest in full. The award agreement for the CFO Inducement Equity Award provides that RSUs will become fully vested on a Change in Control, if the RSUs are not substituted with comparable awards payable in shares of publicly traded stock after the Change in Control. In February 2026, the award agreement for the CFO Inducement Equity Award was amended to provide for full vesting upon a Change in Control. This amendment was intended to create better alignment of certain contractual terms among the Company’s Executive Team.</w:t>
      </w:r>
    </w:p>
    <w:p>
      <w:pPr>
        <w:spacing w:after="0" w:line="132" w:lineRule="exact"/>
        <w:rPr>
          <w:sz w:val="20"/>
          <w:szCs w:val="20"/>
          <w:color w:val="auto"/>
        </w:rPr>
      </w:pPr>
    </w:p>
    <w:p>
      <w:pPr>
        <w:ind w:left="680" w:right="80"/>
        <w:spacing w:after="0" w:line="262" w:lineRule="auto"/>
        <w:rPr>
          <w:sz w:val="20"/>
          <w:szCs w:val="20"/>
          <w:color w:val="auto"/>
        </w:rPr>
      </w:pPr>
      <w:r>
        <w:rPr>
          <w:rFonts w:ascii="Arial" w:cs="Arial" w:eastAsia="Arial" w:hAnsi="Arial"/>
          <w:sz w:val="16"/>
          <w:szCs w:val="16"/>
          <w:i w:val="1"/>
          <w:iCs w:val="1"/>
          <w:color w:val="auto"/>
        </w:rPr>
        <w:t xml:space="preserve">Tabular Disclosure. </w:t>
      </w:r>
      <w:r>
        <w:rPr>
          <w:rFonts w:ascii="Arial" w:cs="Arial" w:eastAsia="Arial" w:hAnsi="Arial"/>
          <w:sz w:val="16"/>
          <w:szCs w:val="16"/>
          <w:color w:val="auto"/>
        </w:rPr>
        <w:t>The table below reflects the amount of compensation that would become payable to each of our NEOs (except</w:t>
      </w:r>
      <w:r>
        <w:rPr>
          <w:rFonts w:ascii="Arial" w:cs="Arial" w:eastAsia="Arial" w:hAnsi="Arial"/>
          <w:sz w:val="16"/>
          <w:szCs w:val="16"/>
          <w:i w:val="1"/>
          <w:iCs w:val="1"/>
          <w:color w:val="auto"/>
        </w:rPr>
        <w:t xml:space="preserve"> </w:t>
      </w:r>
      <w:r>
        <w:rPr>
          <w:rFonts w:ascii="Arial" w:cs="Arial" w:eastAsia="Arial" w:hAnsi="Arial"/>
          <w:sz w:val="16"/>
          <w:szCs w:val="16"/>
          <w:color w:val="auto"/>
        </w:rPr>
        <w:t>Mr. Reasons), under existing employment agreements and plans if the NEO’s employment had terminated on December 31, 2025, the last day of fiscal 2025, given the NEO’s service levels as of such date and, where applicable, based on a fair value of equity as of fiscal year end at $75.30 per share. These benefits are in addition to benefits available prior to the occurrence of any termination of employment, including benefits available generally to salaried employees, such as distributions under the Company’s 401(k) plan. Mr. Reasons departed the Company on September 30, 2025. Severance benefits to which Mr. Reasons was entitled are described above in the Summary Compensation Table and accelerated vesting of outstanding RSUs to which he was entitled is described above in the Fiscal 2025 Option Exercises and Stock Vested table.</w:t>
      </w:r>
    </w:p>
    <w:p>
      <w:pPr>
        <w:spacing w:after="0" w:line="148" w:lineRule="exact"/>
        <w:rPr>
          <w:sz w:val="20"/>
          <w:szCs w:val="20"/>
          <w:color w:val="auto"/>
        </w:rPr>
      </w:pPr>
    </w:p>
    <w:p>
      <w:pPr>
        <w:ind w:left="680" w:right="40"/>
        <w:spacing w:after="0" w:line="264" w:lineRule="auto"/>
        <w:rPr>
          <w:sz w:val="20"/>
          <w:szCs w:val="20"/>
          <w:color w:val="auto"/>
        </w:rPr>
      </w:pPr>
      <w:r>
        <w:rPr>
          <w:rFonts w:ascii="Arial" w:cs="Arial" w:eastAsia="Arial" w:hAnsi="Arial"/>
          <w:sz w:val="16"/>
          <w:szCs w:val="16"/>
          <w:color w:val="auto"/>
        </w:rPr>
        <w:t>The actual amounts that would be paid upon an NEO’s termination of employment or in connection with a change in control can be determined only at the time of any such event. Due to a number of factors that may affect the amount of any benefits provided upon the events discussed below, actual amounts paid or distributed may be higher or lower than indicated in the table. Factors that could affect these amounts include the timing during the year of any such event, our share price, the executive officer’s age and years of service, the attained level of performance for performance units and any additional agreements or arrangements we may enter into in connection with any change in control or termination of employment. For a more complete understanding of the table, please read the footnotes that follow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​42 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00514B"/>
        </w:rPr>
        <w:t>POTENTIAL PAYMENTS UPON TERMINATION OR CHANGE IN CONTROL TABLE</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 w:type="dxa"/>
            <w:vAlign w:val="bottom"/>
            <w:shd w:val="clear" w:color="auto" w:fill="B2EEDE"/>
          </w:tcPr>
          <w:p>
            <w:pPr>
              <w:spacing w:after="0"/>
              <w:rPr>
                <w:sz w:val="17"/>
                <w:szCs w:val="17"/>
                <w:color w:val="auto"/>
              </w:rPr>
            </w:pPr>
          </w:p>
        </w:tc>
        <w:tc>
          <w:tcPr>
            <w:tcW w:w="3040" w:type="dxa"/>
            <w:vAlign w:val="bottom"/>
            <w:shd w:val="clear" w:color="auto" w:fill="B2EEDE"/>
          </w:tcPr>
          <w:p>
            <w:pPr>
              <w:spacing w:after="0"/>
              <w:rPr>
                <w:sz w:val="17"/>
                <w:szCs w:val="17"/>
                <w:color w:val="auto"/>
              </w:rPr>
            </w:pPr>
          </w:p>
        </w:tc>
        <w:tc>
          <w:tcPr>
            <w:tcW w:w="980" w:type="dxa"/>
            <w:vAlign w:val="bottom"/>
            <w:shd w:val="clear" w:color="auto" w:fill="B2EEDE"/>
          </w:tcPr>
          <w:p>
            <w:pPr>
              <w:spacing w:after="0"/>
              <w:rPr>
                <w:sz w:val="17"/>
                <w:szCs w:val="17"/>
                <w:color w:val="auto"/>
              </w:rPr>
            </w:pPr>
          </w:p>
        </w:tc>
        <w:tc>
          <w:tcPr>
            <w:tcW w:w="48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Cash</w:t>
            </w:r>
          </w:p>
        </w:tc>
        <w:tc>
          <w:tcPr>
            <w:tcW w:w="560" w:type="dxa"/>
            <w:vAlign w:val="bottom"/>
            <w:shd w:val="clear" w:color="auto" w:fill="B2EEDE"/>
          </w:tcPr>
          <w:p>
            <w:pPr>
              <w:spacing w:after="0"/>
              <w:rPr>
                <w:sz w:val="17"/>
                <w:szCs w:val="17"/>
                <w:color w:val="auto"/>
              </w:rPr>
            </w:pPr>
          </w:p>
        </w:tc>
        <w:tc>
          <w:tcPr>
            <w:tcW w:w="460" w:type="dxa"/>
            <w:vAlign w:val="bottom"/>
            <w:shd w:val="clear" w:color="auto" w:fill="B2EEDE"/>
          </w:tcPr>
          <w:p>
            <w:pPr>
              <w:jc w:val="center"/>
              <w:ind w:left="8"/>
              <w:spacing w:after="0"/>
              <w:rPr>
                <w:sz w:val="20"/>
                <w:szCs w:val="20"/>
                <w:color w:val="auto"/>
              </w:rPr>
            </w:pPr>
            <w:r>
              <w:rPr>
                <w:rFonts w:ascii="Arial" w:cs="Arial" w:eastAsia="Arial" w:hAnsi="Arial"/>
                <w:sz w:val="14"/>
                <w:szCs w:val="14"/>
                <w:b w:val="1"/>
                <w:bCs w:val="1"/>
                <w:color w:val="auto"/>
                <w:w w:val="99"/>
              </w:rPr>
              <w:t>Cash</w:t>
            </w:r>
          </w:p>
        </w:tc>
        <w:tc>
          <w:tcPr>
            <w:tcW w:w="560" w:type="dxa"/>
            <w:vAlign w:val="bottom"/>
            <w:shd w:val="clear" w:color="auto" w:fill="B2EEDE"/>
          </w:tcPr>
          <w:p>
            <w:pPr>
              <w:spacing w:after="0"/>
              <w:rPr>
                <w:sz w:val="17"/>
                <w:szCs w:val="17"/>
                <w:color w:val="auto"/>
              </w:rPr>
            </w:pPr>
          </w:p>
        </w:tc>
        <w:tc>
          <w:tcPr>
            <w:tcW w:w="58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w w:val="99"/>
              </w:rPr>
              <w:t>Stock</w:t>
            </w:r>
          </w:p>
        </w:tc>
        <w:tc>
          <w:tcPr>
            <w:tcW w:w="380" w:type="dxa"/>
            <w:vAlign w:val="bottom"/>
            <w:shd w:val="clear" w:color="auto" w:fill="B2EEDE"/>
          </w:tcPr>
          <w:p>
            <w:pPr>
              <w:spacing w:after="0"/>
              <w:rPr>
                <w:sz w:val="17"/>
                <w:szCs w:val="17"/>
                <w:color w:val="auto"/>
              </w:rPr>
            </w:pPr>
          </w:p>
        </w:tc>
        <w:tc>
          <w:tcPr>
            <w:tcW w:w="980" w:type="dxa"/>
            <w:vAlign w:val="bottom"/>
            <w:gridSpan w:val="2"/>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Benefits and</w:t>
            </w:r>
          </w:p>
        </w:tc>
        <w:tc>
          <w:tcPr>
            <w:tcW w:w="340" w:type="dxa"/>
            <w:vAlign w:val="bottom"/>
            <w:shd w:val="clear" w:color="auto" w:fill="B2EEDE"/>
          </w:tcPr>
          <w:p>
            <w:pPr>
              <w:spacing w:after="0"/>
              <w:rPr>
                <w:sz w:val="17"/>
                <w:szCs w:val="17"/>
                <w:color w:val="auto"/>
              </w:rPr>
            </w:pPr>
          </w:p>
        </w:tc>
        <w:tc>
          <w:tcPr>
            <w:tcW w:w="520" w:type="dxa"/>
            <w:vAlign w:val="bottom"/>
            <w:shd w:val="clear" w:color="auto" w:fill="B2EEDE"/>
          </w:tcPr>
          <w:p>
            <w:pPr>
              <w:spacing w:after="0"/>
              <w:rPr>
                <w:sz w:val="17"/>
                <w:szCs w:val="17"/>
                <w:color w:val="auto"/>
              </w:rPr>
            </w:pPr>
          </w:p>
        </w:tc>
        <w:tc>
          <w:tcPr>
            <w:tcW w:w="320" w:type="dxa"/>
            <w:vAlign w:val="bottom"/>
            <w:shd w:val="clear" w:color="auto" w:fill="B2EED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 w:type="dxa"/>
            <w:vAlign w:val="bottom"/>
            <w:shd w:val="clear" w:color="auto" w:fill="B2EEDE"/>
          </w:tcPr>
          <w:p>
            <w:pPr>
              <w:spacing w:after="0"/>
              <w:rPr>
                <w:sz w:val="15"/>
                <w:szCs w:val="15"/>
                <w:color w:val="auto"/>
              </w:rPr>
            </w:pPr>
          </w:p>
        </w:tc>
        <w:tc>
          <w:tcPr>
            <w:tcW w:w="3040" w:type="dxa"/>
            <w:vAlign w:val="bottom"/>
            <w:shd w:val="clear" w:color="auto" w:fill="B2EEDE"/>
          </w:tcPr>
          <w:p>
            <w:pPr>
              <w:spacing w:after="0"/>
              <w:rPr>
                <w:sz w:val="15"/>
                <w:szCs w:val="15"/>
                <w:color w:val="auto"/>
              </w:rPr>
            </w:pPr>
          </w:p>
        </w:tc>
        <w:tc>
          <w:tcPr>
            <w:tcW w:w="980" w:type="dxa"/>
            <w:vAlign w:val="bottom"/>
            <w:shd w:val="clear" w:color="auto" w:fill="B2EEDE"/>
          </w:tcPr>
          <w:p>
            <w:pPr>
              <w:spacing w:after="0"/>
              <w:rPr>
                <w:sz w:val="15"/>
                <w:szCs w:val="15"/>
                <w:color w:val="auto"/>
              </w:rPr>
            </w:pPr>
          </w:p>
        </w:tc>
        <w:tc>
          <w:tcPr>
            <w:tcW w:w="480" w:type="dxa"/>
            <w:vAlign w:val="bottom"/>
            <w:vMerge w:val="continue"/>
            <w:shd w:val="clear" w:color="auto" w:fill="B2EEDE"/>
          </w:tcPr>
          <w:p>
            <w:pPr>
              <w:spacing w:after="0"/>
              <w:rPr>
                <w:sz w:val="15"/>
                <w:szCs w:val="15"/>
                <w:color w:val="auto"/>
              </w:rPr>
            </w:pPr>
          </w:p>
        </w:tc>
        <w:tc>
          <w:tcPr>
            <w:tcW w:w="1580" w:type="dxa"/>
            <w:vAlign w:val="bottom"/>
            <w:gridSpan w:val="3"/>
            <w:shd w:val="clear" w:color="auto" w:fill="B2EEDE"/>
          </w:tcPr>
          <w:p>
            <w:pPr>
              <w:jc w:val="center"/>
              <w:ind w:left="25"/>
              <w:spacing w:after="0"/>
              <w:rPr>
                <w:sz w:val="20"/>
                <w:szCs w:val="20"/>
                <w:color w:val="auto"/>
              </w:rPr>
            </w:pPr>
            <w:r>
              <w:rPr>
                <w:rFonts w:ascii="Arial" w:cs="Arial" w:eastAsia="Arial" w:hAnsi="Arial"/>
                <w:sz w:val="14"/>
                <w:szCs w:val="14"/>
                <w:b w:val="1"/>
                <w:bCs w:val="1"/>
                <w:color w:val="auto"/>
              </w:rPr>
              <w:t>Inducement</w:t>
            </w:r>
          </w:p>
        </w:tc>
        <w:tc>
          <w:tcPr>
            <w:tcW w:w="580" w:type="dxa"/>
            <w:vAlign w:val="bottom"/>
            <w:vMerge w:val="continue"/>
            <w:shd w:val="clear" w:color="auto" w:fill="B2EEDE"/>
          </w:tcPr>
          <w:p>
            <w:pPr>
              <w:spacing w:after="0"/>
              <w:rPr>
                <w:sz w:val="15"/>
                <w:szCs w:val="15"/>
                <w:color w:val="auto"/>
              </w:rPr>
            </w:pPr>
          </w:p>
        </w:tc>
        <w:tc>
          <w:tcPr>
            <w:tcW w:w="380" w:type="dxa"/>
            <w:vAlign w:val="bottom"/>
            <w:shd w:val="clear" w:color="auto" w:fill="B2EEDE"/>
          </w:tcPr>
          <w:p>
            <w:pPr>
              <w:spacing w:after="0"/>
              <w:rPr>
                <w:sz w:val="15"/>
                <w:szCs w:val="15"/>
                <w:color w:val="auto"/>
              </w:rPr>
            </w:pPr>
          </w:p>
        </w:tc>
        <w:tc>
          <w:tcPr>
            <w:tcW w:w="980" w:type="dxa"/>
            <w:vAlign w:val="bottom"/>
            <w:gridSpan w:val="2"/>
            <w:vMerge w:val="continue"/>
            <w:shd w:val="clear" w:color="auto" w:fill="B2EEDE"/>
          </w:tcPr>
          <w:p>
            <w:pPr>
              <w:spacing w:after="0"/>
              <w:rPr>
                <w:sz w:val="15"/>
                <w:szCs w:val="15"/>
                <w:color w:val="auto"/>
              </w:rPr>
            </w:pPr>
          </w:p>
        </w:tc>
        <w:tc>
          <w:tcPr>
            <w:tcW w:w="340" w:type="dxa"/>
            <w:vAlign w:val="bottom"/>
            <w:shd w:val="clear" w:color="auto" w:fill="B2EEDE"/>
          </w:tcPr>
          <w:p>
            <w:pPr>
              <w:spacing w:after="0"/>
              <w:rPr>
                <w:sz w:val="15"/>
                <w:szCs w:val="15"/>
                <w:color w:val="auto"/>
              </w:rPr>
            </w:pPr>
          </w:p>
        </w:tc>
        <w:tc>
          <w:tcPr>
            <w:tcW w:w="520" w:type="dxa"/>
            <w:vAlign w:val="bottom"/>
            <w:vMerge w:val="restart"/>
            <w:shd w:val="clear" w:color="auto" w:fill="B2EEDE"/>
          </w:tcPr>
          <w:p>
            <w:pPr>
              <w:jc w:val="right"/>
              <w:spacing w:after="0"/>
              <w:rPr>
                <w:sz w:val="20"/>
                <w:szCs w:val="20"/>
                <w:color w:val="auto"/>
              </w:rPr>
            </w:pPr>
            <w:r>
              <w:rPr>
                <w:rFonts w:ascii="Arial" w:cs="Arial" w:eastAsia="Arial" w:hAnsi="Arial"/>
                <w:sz w:val="14"/>
                <w:szCs w:val="14"/>
                <w:b w:val="1"/>
                <w:bCs w:val="1"/>
                <w:color w:val="auto"/>
              </w:rPr>
              <w:t>Total</w:t>
            </w:r>
          </w:p>
        </w:tc>
        <w:tc>
          <w:tcPr>
            <w:tcW w:w="3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0" w:type="dxa"/>
            <w:vAlign w:val="bottom"/>
            <w:shd w:val="clear" w:color="auto" w:fill="B2EEDE"/>
          </w:tcPr>
          <w:p>
            <w:pPr>
              <w:spacing w:after="0"/>
              <w:rPr>
                <w:sz w:val="14"/>
                <w:szCs w:val="14"/>
                <w:color w:val="auto"/>
              </w:rPr>
            </w:pPr>
          </w:p>
        </w:tc>
        <w:tc>
          <w:tcPr>
            <w:tcW w:w="3040" w:type="dxa"/>
            <w:vAlign w:val="bottom"/>
            <w:shd w:val="clear" w:color="auto" w:fill="B2EEDE"/>
          </w:tcPr>
          <w:p>
            <w:pPr>
              <w:spacing w:after="0"/>
              <w:rPr>
                <w:sz w:val="14"/>
                <w:szCs w:val="14"/>
                <w:color w:val="auto"/>
              </w:rPr>
            </w:pPr>
          </w:p>
        </w:tc>
        <w:tc>
          <w:tcPr>
            <w:tcW w:w="2020" w:type="dxa"/>
            <w:vAlign w:val="bottom"/>
            <w:gridSpan w:val="3"/>
            <w:shd w:val="clear" w:color="auto" w:fill="B2EEDE"/>
          </w:tcPr>
          <w:p>
            <w:pPr>
              <w:jc w:val="center"/>
              <w:ind w:left="385"/>
              <w:spacing w:after="0"/>
              <w:rPr>
                <w:sz w:val="20"/>
                <w:szCs w:val="20"/>
                <w:color w:val="auto"/>
              </w:rPr>
            </w:pPr>
            <w:r>
              <w:rPr>
                <w:rFonts w:ascii="Arial" w:cs="Arial" w:eastAsia="Arial" w:hAnsi="Arial"/>
                <w:sz w:val="14"/>
                <w:szCs w:val="14"/>
                <w:b w:val="1"/>
                <w:bCs w:val="1"/>
                <w:color w:val="auto"/>
              </w:rPr>
              <w:t>Severance</w:t>
            </w:r>
          </w:p>
        </w:tc>
        <w:tc>
          <w:tcPr>
            <w:tcW w:w="1020" w:type="dxa"/>
            <w:vAlign w:val="bottom"/>
            <w:gridSpan w:val="2"/>
            <w:shd w:val="clear" w:color="auto" w:fill="B2EEDE"/>
          </w:tcPr>
          <w:p>
            <w:pPr>
              <w:jc w:val="center"/>
              <w:ind w:right="385"/>
              <w:spacing w:after="0"/>
              <w:rPr>
                <w:sz w:val="20"/>
                <w:szCs w:val="20"/>
                <w:color w:val="auto"/>
              </w:rPr>
            </w:pPr>
            <w:r>
              <w:rPr>
                <w:rFonts w:ascii="Arial" w:cs="Arial" w:eastAsia="Arial" w:hAnsi="Arial"/>
                <w:sz w:val="14"/>
                <w:szCs w:val="14"/>
                <w:b w:val="1"/>
                <w:bCs w:val="1"/>
                <w:color w:val="auto"/>
              </w:rPr>
              <w:t>Awards</w:t>
            </w:r>
          </w:p>
        </w:tc>
        <w:tc>
          <w:tcPr>
            <w:tcW w:w="5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Awards</w:t>
            </w:r>
          </w:p>
        </w:tc>
        <w:tc>
          <w:tcPr>
            <w:tcW w:w="380" w:type="dxa"/>
            <w:vAlign w:val="bottom"/>
            <w:shd w:val="clear" w:color="auto" w:fill="B2EEDE"/>
          </w:tcPr>
          <w:p>
            <w:pPr>
              <w:spacing w:after="0"/>
              <w:rPr>
                <w:sz w:val="14"/>
                <w:szCs w:val="14"/>
                <w:color w:val="auto"/>
              </w:rPr>
            </w:pPr>
          </w:p>
        </w:tc>
        <w:tc>
          <w:tcPr>
            <w:tcW w:w="98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Outplacement</w:t>
            </w:r>
          </w:p>
        </w:tc>
        <w:tc>
          <w:tcPr>
            <w:tcW w:w="340" w:type="dxa"/>
            <w:vAlign w:val="bottom"/>
            <w:shd w:val="clear" w:color="auto" w:fill="B2EEDE"/>
          </w:tcPr>
          <w:p>
            <w:pPr>
              <w:spacing w:after="0"/>
              <w:rPr>
                <w:sz w:val="14"/>
                <w:szCs w:val="14"/>
                <w:color w:val="auto"/>
              </w:rPr>
            </w:pPr>
          </w:p>
        </w:tc>
        <w:tc>
          <w:tcPr>
            <w:tcW w:w="520" w:type="dxa"/>
            <w:vAlign w:val="bottom"/>
            <w:vMerge w:val="continue"/>
            <w:shd w:val="clear" w:color="auto" w:fill="B2EEDE"/>
          </w:tcPr>
          <w:p>
            <w:pPr>
              <w:spacing w:after="0"/>
              <w:rPr>
                <w:sz w:val="14"/>
                <w:szCs w:val="14"/>
                <w:color w:val="auto"/>
              </w:rPr>
            </w:pPr>
          </w:p>
        </w:tc>
        <w:tc>
          <w:tcPr>
            <w:tcW w:w="320" w:type="dxa"/>
            <w:vAlign w:val="bottom"/>
            <w:shd w:val="clear" w:color="auto" w:fill="B2EED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240" w:type="dxa"/>
            <w:vAlign w:val="bottom"/>
            <w:tcBorders>
              <w:bottom w:val="single" w:sz="8" w:color="auto"/>
            </w:tcBorders>
            <w:gridSpan w:val="2"/>
            <w:shd w:val="clear" w:color="auto" w:fill="B2EEDE"/>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Name and Termination Scenario</w:t>
            </w:r>
          </w:p>
        </w:tc>
        <w:tc>
          <w:tcPr>
            <w:tcW w:w="980" w:type="dxa"/>
            <w:vAlign w:val="bottom"/>
            <w:tcBorders>
              <w:bottom w:val="single" w:sz="8" w:color="auto"/>
            </w:tcBorders>
            <w:shd w:val="clear" w:color="auto" w:fill="B2EEDE"/>
          </w:tcPr>
          <w:p>
            <w:pPr>
              <w:ind w:left="680"/>
              <w:spacing w:after="0"/>
              <w:rPr>
                <w:sz w:val="20"/>
                <w:szCs w:val="20"/>
                <w:color w:val="auto"/>
              </w:rPr>
            </w:pPr>
            <w:r>
              <w:rPr>
                <w:rFonts w:ascii="Arial" w:cs="Arial" w:eastAsia="Arial" w:hAnsi="Arial"/>
                <w:sz w:val="14"/>
                <w:szCs w:val="14"/>
                <w:b w:val="1"/>
                <w:bCs w:val="1"/>
                <w:color w:val="auto"/>
              </w:rPr>
              <w:t>​ ​</w:t>
            </w:r>
          </w:p>
        </w:tc>
        <w:tc>
          <w:tcPr>
            <w:tcW w:w="480" w:type="dxa"/>
            <w:vAlign w:val="bottom"/>
            <w:tcBorders>
              <w:bottom w:val="single" w:sz="8" w:color="auto"/>
            </w:tcBorders>
            <w:shd w:val="clear" w:color="auto" w:fill="B2EEDE"/>
          </w:tcPr>
          <w:p>
            <w:pPr>
              <w:jc w:val="center"/>
              <w:ind w:left="7"/>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auto"/>
            </w:tcBorders>
            <w:shd w:val="clear" w:color="auto" w:fill="B2EEDE"/>
          </w:tcPr>
          <w:p>
            <w:pPr>
              <w:jc w:val="right"/>
              <w:ind w:right="65"/>
              <w:spacing w:after="0"/>
              <w:rPr>
                <w:sz w:val="20"/>
                <w:szCs w:val="20"/>
                <w:color w:val="auto"/>
              </w:rPr>
            </w:pPr>
            <w:r>
              <w:rPr>
                <w:rFonts w:ascii="Arial" w:cs="Arial" w:eastAsia="Arial" w:hAnsi="Arial"/>
                <w:sz w:val="14"/>
                <w:szCs w:val="14"/>
                <w:b w:val="1"/>
                <w:bCs w:val="1"/>
                <w:color w:val="auto"/>
              </w:rPr>
              <w:t>​ ​</w:t>
            </w:r>
          </w:p>
        </w:tc>
        <w:tc>
          <w:tcPr>
            <w:tcW w:w="460" w:type="dxa"/>
            <w:vAlign w:val="bottom"/>
            <w:tcBorders>
              <w:bottom w:val="single" w:sz="8" w:color="auto"/>
            </w:tcBorders>
            <w:shd w:val="clear" w:color="auto" w:fill="B2EEDE"/>
          </w:tcPr>
          <w:p>
            <w:pPr>
              <w:jc w:val="center"/>
              <w:ind w:left="68"/>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560" w:type="dxa"/>
            <w:vAlign w:val="bottom"/>
            <w:tcBorders>
              <w:bottom w:val="single" w:sz="8" w:color="auto"/>
            </w:tcBorders>
            <w:shd w:val="clear" w:color="auto" w:fill="B2EEDE"/>
          </w:tcPr>
          <w:p>
            <w:pPr>
              <w:jc w:val="right"/>
              <w:ind w:right="25"/>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shd w:val="clear" w:color="auto" w:fill="B2EEDE"/>
          </w:tcPr>
          <w:p>
            <w:pPr>
              <w:jc w:val="center"/>
              <w:ind w:left="13"/>
              <w:spacing w:after="0" w:line="225" w:lineRule="exact"/>
              <w:rPr>
                <w:sz w:val="20"/>
                <w:szCs w:val="20"/>
                <w:color w:val="auto"/>
              </w:rPr>
            </w:pPr>
            <w:r>
              <w:rPr>
                <w:rFonts w:ascii="Arial" w:cs="Arial" w:eastAsia="Arial" w:hAnsi="Arial"/>
                <w:sz w:val="26"/>
                <w:szCs w:val="26"/>
                <w:b w:val="1"/>
                <w:bCs w:val="1"/>
                <w:color w:val="auto"/>
                <w:w w:val="87"/>
                <w:vertAlign w:val="subscript"/>
              </w:rPr>
              <w:t>($)</w:t>
            </w:r>
            <w:r>
              <w:rPr>
                <w:rFonts w:ascii="Arial" w:cs="Arial" w:eastAsia="Arial" w:hAnsi="Arial"/>
                <w:sz w:val="9"/>
                <w:szCs w:val="9"/>
                <w:b w:val="1"/>
                <w:bCs w:val="1"/>
                <w:color w:val="auto"/>
                <w:w w:val="87"/>
              </w:rPr>
              <w:t>(2)(3)</w:t>
            </w:r>
          </w:p>
        </w:tc>
        <w:tc>
          <w:tcPr>
            <w:tcW w:w="38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360" w:type="dxa"/>
            <w:vAlign w:val="bottom"/>
            <w:tcBorders>
              <w:bottom w:val="single" w:sz="8" w:color="auto"/>
            </w:tcBorders>
            <w:shd w:val="clear" w:color="auto" w:fill="B2EEDE"/>
          </w:tcPr>
          <w:p>
            <w:pPr>
              <w:spacing w:after="0"/>
              <w:rPr>
                <w:sz w:val="19"/>
                <w:szCs w:val="19"/>
                <w:color w:val="auto"/>
              </w:rPr>
            </w:pPr>
          </w:p>
        </w:tc>
        <w:tc>
          <w:tcPr>
            <w:tcW w:w="620" w:type="dxa"/>
            <w:vAlign w:val="bottom"/>
            <w:tcBorders>
              <w:bottom w:val="single" w:sz="8" w:color="auto"/>
            </w:tcBorders>
            <w:shd w:val="clear" w:color="auto" w:fill="B2EEDE"/>
          </w:tcPr>
          <w:p>
            <w:pPr>
              <w:jc w:val="center"/>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 ​</w:t>
            </w:r>
          </w:p>
        </w:tc>
        <w:tc>
          <w:tcPr>
            <w:tcW w:w="5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(4)</w:t>
            </w:r>
          </w:p>
        </w:tc>
        <w:tc>
          <w:tcPr>
            <w:tcW w:w="3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auto"/>
            </w:tcBorders>
            <w:gridSpan w:val="8"/>
          </w:tcPr>
          <w:p>
            <w:pPr>
              <w:ind w:left="2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 xml:space="preserve"> Involuntary Termination for Cause or Voluntary Termination Not for Good Reason:</w:t>
            </w:r>
          </w:p>
        </w:tc>
        <w:tc>
          <w:tcPr>
            <w:tcW w:w="3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Sigurdur O. Olafsson</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580" w:type="dxa"/>
            <w:vAlign w:val="bottom"/>
            <w:tcBorders>
              <w:bottom w:val="single" w:sz="8" w:color="auto"/>
            </w:tcBorders>
            <w:shd w:val="clear" w:color="auto" w:fill="E5E5E5"/>
          </w:tcPr>
          <w:p>
            <w:pPr>
              <w:spacing w:after="0"/>
              <w:rPr>
                <w:sz w:val="21"/>
                <w:szCs w:val="21"/>
                <w:color w:val="auto"/>
              </w:rPr>
            </w:pPr>
          </w:p>
        </w:tc>
        <w:tc>
          <w:tcPr>
            <w:tcW w:w="38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20" w:type="dxa"/>
            <w:vAlign w:val="bottom"/>
            <w:tcBorders>
              <w:bottom w:val="single" w:sz="8" w:color="auto"/>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Christiana Stamoulis</w:t>
            </w:r>
          </w:p>
        </w:tc>
        <w:tc>
          <w:tcPr>
            <w:tcW w:w="980" w:type="dxa"/>
            <w:vAlign w:val="bottom"/>
            <w:tcBorders>
              <w:bottom w:val="single" w:sz="8" w:color="auto"/>
            </w:tcBorders>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360" w:type="dxa"/>
            <w:vAlign w:val="bottom"/>
            <w:tcBorders>
              <w:bottom w:val="single" w:sz="8" w:color="auto"/>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Henriette Nielsen</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580" w:type="dxa"/>
            <w:vAlign w:val="bottom"/>
            <w:tcBorders>
              <w:bottom w:val="single" w:sz="8" w:color="auto"/>
            </w:tcBorders>
            <w:shd w:val="clear" w:color="auto" w:fill="E5E5E5"/>
          </w:tcPr>
          <w:p>
            <w:pPr>
              <w:spacing w:after="0"/>
              <w:rPr>
                <w:sz w:val="21"/>
                <w:szCs w:val="21"/>
                <w:color w:val="auto"/>
              </w:rPr>
            </w:pPr>
          </w:p>
        </w:tc>
        <w:tc>
          <w:tcPr>
            <w:tcW w:w="38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20" w:type="dxa"/>
            <w:vAlign w:val="bottom"/>
            <w:tcBorders>
              <w:bottom w:val="single" w:sz="8" w:color="auto"/>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Lisa French</w:t>
            </w:r>
          </w:p>
        </w:tc>
        <w:tc>
          <w:tcPr>
            <w:tcW w:w="980" w:type="dxa"/>
            <w:vAlign w:val="bottom"/>
            <w:tcBorders>
              <w:bottom w:val="single" w:sz="8" w:color="auto"/>
            </w:tcBorders>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360" w:type="dxa"/>
            <w:vAlign w:val="bottom"/>
            <w:tcBorders>
              <w:bottom w:val="single" w:sz="8" w:color="auto"/>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Mark A. Tyndall</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580" w:type="dxa"/>
            <w:vAlign w:val="bottom"/>
            <w:tcBorders>
              <w:bottom w:val="single" w:sz="8" w:color="auto"/>
            </w:tcBorders>
            <w:shd w:val="clear" w:color="auto" w:fill="E5E5E5"/>
          </w:tcPr>
          <w:p>
            <w:pPr>
              <w:spacing w:after="0"/>
              <w:rPr>
                <w:sz w:val="21"/>
                <w:szCs w:val="21"/>
                <w:color w:val="auto"/>
              </w:rPr>
            </w:pPr>
          </w:p>
        </w:tc>
        <w:tc>
          <w:tcPr>
            <w:tcW w:w="38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E5E5"/>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20" w:type="dxa"/>
            <w:vAlign w:val="bottom"/>
            <w:tcBorders>
              <w:bottom w:val="single" w:sz="8" w:color="auto"/>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auto"/>
            </w:tcBorders>
            <w:gridSpan w:val="8"/>
          </w:tcPr>
          <w:p>
            <w:pPr>
              <w:ind w:left="2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 xml:space="preserve"> Involuntary Termination without Cause or Voluntary Termination for Good Reason:</w:t>
            </w:r>
          </w:p>
        </w:tc>
        <w:tc>
          <w:tcPr>
            <w:tcW w:w="3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Sigurdur O. Olafsson</w:t>
            </w:r>
          </w:p>
        </w:tc>
        <w:tc>
          <w:tcPr>
            <w:tcW w:w="4000" w:type="dxa"/>
            <w:vAlign w:val="bottom"/>
            <w:tcBorders>
              <w:bottom w:val="single" w:sz="8" w:color="auto"/>
            </w:tcBorders>
            <w:gridSpan w:val="7"/>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​11,400,000</w:t>
            </w:r>
            <w:r>
              <w:rPr>
                <w:rFonts w:ascii="Arial" w:cs="Arial" w:eastAsia="Arial" w:hAnsi="Arial"/>
                <w:sz w:val="28"/>
                <w:szCs w:val="28"/>
                <w:color w:val="auto"/>
                <w:vertAlign w:val="subscript"/>
              </w:rPr>
              <w:t>​​ ​ ​</w:t>
            </w:r>
            <w:r>
              <w:rPr>
                <w:rFonts w:ascii="Arial" w:cs="Arial" w:eastAsia="Arial" w:hAnsi="Arial"/>
                <w:sz w:val="15"/>
                <w:szCs w:val="15"/>
                <w:color w:val="auto"/>
              </w:rPr>
              <w:t xml:space="preserve">​6,000,000 </w:t>
            </w:r>
            <w:r>
              <w:rPr>
                <w:rFonts w:ascii="Arial" w:cs="Arial" w:eastAsia="Arial" w:hAnsi="Arial"/>
                <w:sz w:val="28"/>
                <w:szCs w:val="28"/>
                <w:color w:val="auto"/>
                <w:vertAlign w:val="subscript"/>
              </w:rPr>
              <w:t>​​ ​​</w:t>
            </w:r>
            <w:r>
              <w:rPr>
                <w:rFonts w:ascii="Arial" w:cs="Arial" w:eastAsia="Arial" w:hAnsi="Arial"/>
                <w:sz w:val="15"/>
                <w:szCs w:val="15"/>
                <w:color w:val="auto"/>
              </w:rPr>
              <w:t>​25,688,896</w:t>
            </w:r>
            <w:r>
              <w:rPr>
                <w:rFonts w:ascii="Arial" w:cs="Arial" w:eastAsia="Arial" w:hAnsi="Arial"/>
                <w:sz w:val="28"/>
                <w:szCs w:val="28"/>
                <w:color w:val="auto"/>
                <w:vertAlign w:val="subscript"/>
              </w:rPr>
              <w:t>​​ ​</w:t>
            </w:r>
          </w:p>
        </w:tc>
        <w:tc>
          <w:tcPr>
            <w:tcW w:w="980" w:type="dxa"/>
            <w:vAlign w:val="bottom"/>
            <w:tcBorders>
              <w:bottom w:val="single" w:sz="8" w:color="auto"/>
            </w:tcBorders>
            <w:gridSpan w:val="2"/>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​54,179</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​43,143,075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Christiana Stamoulis</w:t>
            </w:r>
          </w:p>
        </w:tc>
        <w:tc>
          <w:tcPr>
            <w:tcW w:w="4000" w:type="dxa"/>
            <w:vAlign w:val="bottom"/>
            <w:tcBorders>
              <w:bottom w:val="single" w:sz="8" w:color="auto"/>
            </w:tcBorders>
            <w:gridSpan w:val="7"/>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3,062,500</w:t>
            </w:r>
            <w:r>
              <w:rPr>
                <w:rFonts w:ascii="Arial" w:cs="Arial" w:eastAsia="Arial" w:hAnsi="Arial"/>
                <w:sz w:val="28"/>
                <w:szCs w:val="28"/>
                <w:color w:val="auto"/>
                <w:vertAlign w:val="subscript"/>
              </w:rPr>
              <w:t>​​ ​ ​</w:t>
            </w:r>
            <w:r>
              <w:rPr>
                <w:rFonts w:ascii="Arial" w:cs="Arial" w:eastAsia="Arial" w:hAnsi="Arial"/>
                <w:sz w:val="15"/>
                <w:szCs w:val="15"/>
                <w:color w:val="auto"/>
              </w:rPr>
              <w:t xml:space="preserve">​1,000,000 </w:t>
            </w:r>
            <w:r>
              <w:rPr>
                <w:rFonts w:ascii="Arial" w:cs="Arial" w:eastAsia="Arial" w:hAnsi="Arial"/>
                <w:sz w:val="28"/>
                <w:szCs w:val="28"/>
                <w:color w:val="auto"/>
                <w:vertAlign w:val="subscript"/>
              </w:rPr>
              <w:t>​​ ​​</w:t>
            </w:r>
            <w:r>
              <w:rPr>
                <w:rFonts w:ascii="Arial" w:cs="Arial" w:eastAsia="Arial" w:hAnsi="Arial"/>
                <w:sz w:val="15"/>
                <w:szCs w:val="15"/>
                <w:color w:val="auto"/>
              </w:rPr>
              <w:t>​ 5,490,801</w:t>
            </w:r>
            <w:r>
              <w:rPr>
                <w:rFonts w:ascii="Arial" w:cs="Arial" w:eastAsia="Arial" w:hAnsi="Arial"/>
                <w:sz w:val="28"/>
                <w:szCs w:val="28"/>
                <w:color w:val="auto"/>
                <w:vertAlign w:val="subscript"/>
              </w:rPr>
              <w:t>​​ ​</w:t>
            </w:r>
          </w:p>
        </w:tc>
        <w:tc>
          <w:tcPr>
            <w:tcW w:w="98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​46,824</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9,600,125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Henriette Nielsen</w:t>
            </w:r>
          </w:p>
        </w:tc>
        <w:tc>
          <w:tcPr>
            <w:tcW w:w="2020" w:type="dxa"/>
            <w:vAlign w:val="bottom"/>
            <w:tcBorders>
              <w:bottom w:val="single" w:sz="8" w:color="auto"/>
            </w:tcBorders>
            <w:gridSpan w:val="3"/>
            <w:shd w:val="clear" w:color="auto" w:fill="E5E5E5"/>
          </w:tcPr>
          <w:p>
            <w:pPr>
              <w:ind w:left="6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2,241,540</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980" w:type="dxa"/>
            <w:vAlign w:val="bottom"/>
            <w:tcBorders>
              <w:bottom w:val="single" w:sz="8" w:color="auto"/>
            </w:tcBorders>
            <w:gridSpan w:val="2"/>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​51,723</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6,254,570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Lisa French</w:t>
            </w:r>
          </w:p>
        </w:tc>
        <w:tc>
          <w:tcPr>
            <w:tcW w:w="2020" w:type="dxa"/>
            <w:vAlign w:val="bottom"/>
            <w:tcBorders>
              <w:bottom w:val="single" w:sz="8" w:color="auto"/>
            </w:tcBorders>
            <w:gridSpan w:val="3"/>
          </w:tcPr>
          <w:p>
            <w:pPr>
              <w:ind w:left="6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2,148,272</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98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​40,444</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6,150,023</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Mark A. Tyndall</w:t>
            </w:r>
          </w:p>
        </w:tc>
        <w:tc>
          <w:tcPr>
            <w:tcW w:w="2020" w:type="dxa"/>
            <w:vAlign w:val="bottom"/>
            <w:tcBorders>
              <w:bottom w:val="single" w:sz="8" w:color="auto"/>
            </w:tcBorders>
            <w:gridSpan w:val="3"/>
            <w:shd w:val="clear" w:color="auto" w:fill="E5E5E5"/>
          </w:tcPr>
          <w:p>
            <w:pPr>
              <w:ind w:left="6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2,130,806</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980" w:type="dxa"/>
            <w:vAlign w:val="bottom"/>
            <w:tcBorders>
              <w:bottom w:val="single" w:sz="8" w:color="auto"/>
            </w:tcBorders>
            <w:gridSpan w:val="2"/>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​51,729</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6,143,842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Death and Disability:</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i w:val="1"/>
                <w:iCs w:val="1"/>
                <w:color w:val="auto"/>
              </w:rPr>
              <w:t>​ ​​</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 ​</w:t>
            </w:r>
          </w:p>
        </w:tc>
        <w:tc>
          <w:tcPr>
            <w:tcW w:w="4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i w:val="1"/>
                <w:iCs w:val="1"/>
                <w:color w:val="auto"/>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i w:val="1"/>
                <w:iCs w:val="1"/>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rPr>
              <w:t>​​ ​​</w:t>
            </w: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Sigurdur O. Olafsson</w:t>
            </w:r>
          </w:p>
        </w:tc>
        <w:tc>
          <w:tcPr>
            <w:tcW w:w="4000" w:type="dxa"/>
            <w:vAlign w:val="bottom"/>
            <w:tcBorders>
              <w:bottom w:val="single" w:sz="8" w:color="auto"/>
            </w:tcBorders>
            <w:gridSpan w:val="7"/>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​11,400,000</w:t>
            </w:r>
            <w:r>
              <w:rPr>
                <w:rFonts w:ascii="Arial" w:cs="Arial" w:eastAsia="Arial" w:hAnsi="Arial"/>
                <w:sz w:val="28"/>
                <w:szCs w:val="28"/>
                <w:color w:val="auto"/>
                <w:vertAlign w:val="subscript"/>
              </w:rPr>
              <w:t>​​ ​ ​</w:t>
            </w:r>
            <w:r>
              <w:rPr>
                <w:rFonts w:ascii="Arial" w:cs="Arial" w:eastAsia="Arial" w:hAnsi="Arial"/>
                <w:sz w:val="15"/>
                <w:szCs w:val="15"/>
                <w:color w:val="auto"/>
              </w:rPr>
              <w:t xml:space="preserve">​6,000,000 </w:t>
            </w:r>
            <w:r>
              <w:rPr>
                <w:rFonts w:ascii="Arial" w:cs="Arial" w:eastAsia="Arial" w:hAnsi="Arial"/>
                <w:sz w:val="28"/>
                <w:szCs w:val="28"/>
                <w:color w:val="auto"/>
                <w:vertAlign w:val="subscript"/>
              </w:rPr>
              <w:t>​​ ​​</w:t>
            </w:r>
            <w:r>
              <w:rPr>
                <w:rFonts w:ascii="Arial" w:cs="Arial" w:eastAsia="Arial" w:hAnsi="Arial"/>
                <w:sz w:val="15"/>
                <w:szCs w:val="15"/>
                <w:color w:val="auto"/>
              </w:rPr>
              <w:t>​25,688,896</w:t>
            </w:r>
            <w:r>
              <w:rPr>
                <w:rFonts w:ascii="Arial" w:cs="Arial" w:eastAsia="Arial" w:hAnsi="Arial"/>
                <w:sz w:val="28"/>
                <w:szCs w:val="28"/>
                <w:color w:val="auto"/>
                <w:vertAlign w:val="subscript"/>
              </w:rPr>
              <w:t>​​ ​</w:t>
            </w:r>
          </w:p>
        </w:tc>
        <w:tc>
          <w:tcPr>
            <w:tcW w:w="980" w:type="dxa"/>
            <w:vAlign w:val="bottom"/>
            <w:tcBorders>
              <w:bottom w:val="single" w:sz="8" w:color="auto"/>
            </w:tcBorders>
            <w:gridSpan w:val="2"/>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​54,179</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​43,143,075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Christiana Stamoulis</w:t>
            </w:r>
          </w:p>
        </w:tc>
        <w:tc>
          <w:tcPr>
            <w:tcW w:w="980" w:type="dxa"/>
            <w:vAlign w:val="bottom"/>
            <w:tcBorders>
              <w:bottom w:val="single" w:sz="8" w:color="auto"/>
            </w:tcBorders>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4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700,000</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5,490,801</w:t>
            </w:r>
            <w:r>
              <w:rPr>
                <w:rFonts w:ascii="Arial" w:cs="Arial" w:eastAsia="Arial" w:hAnsi="Arial"/>
                <w:sz w:val="28"/>
                <w:szCs w:val="28"/>
                <w:color w:val="auto"/>
                <w:vertAlign w:val="subscript"/>
              </w:rPr>
              <w:t>​​ ​</w:t>
            </w:r>
          </w:p>
        </w:tc>
        <w:tc>
          <w:tcPr>
            <w:tcW w:w="360" w:type="dxa"/>
            <w:vAlign w:val="bottom"/>
            <w:tcBorders>
              <w:bottom w:val="single" w:sz="8" w:color="auto"/>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6,190,801</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Henriette Nielsen</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498,120</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4,459,427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Lisa French</w:t>
            </w:r>
          </w:p>
        </w:tc>
        <w:tc>
          <w:tcPr>
            <w:tcW w:w="980" w:type="dxa"/>
            <w:vAlign w:val="bottom"/>
            <w:tcBorders>
              <w:bottom w:val="single" w:sz="8" w:color="auto"/>
            </w:tcBorders>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4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477,394</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360" w:type="dxa"/>
            <w:vAlign w:val="bottom"/>
            <w:tcBorders>
              <w:bottom w:val="single" w:sz="8" w:color="auto"/>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4,438,701</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Mark A. Tyndall</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4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15"/>
                <w:szCs w:val="15"/>
                <w:color w:val="auto"/>
              </w:rPr>
              <w:t>473,513</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4,434,820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Change in Control:</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i w:val="1"/>
                <w:iCs w:val="1"/>
                <w:color w:val="auto"/>
              </w:rPr>
              <w:t>​ ​​</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 ​</w:t>
            </w:r>
          </w:p>
        </w:tc>
        <w:tc>
          <w:tcPr>
            <w:tcW w:w="4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i w:val="1"/>
                <w:iCs w:val="1"/>
                <w:color w:val="auto"/>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i w:val="1"/>
                <w:iCs w:val="1"/>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rPr>
              <w:t>​​ ​​</w:t>
            </w: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Sigurdur O. Olafsson</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​25,688,896</w:t>
            </w:r>
            <w:r>
              <w:rPr>
                <w:rFonts w:ascii="Arial" w:cs="Arial" w:eastAsia="Arial" w:hAnsi="Arial"/>
                <w:sz w:val="28"/>
                <w:szCs w:val="28"/>
                <w:color w:val="auto"/>
                <w:vertAlign w:val="subscript"/>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​25,688,896</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Christiana Stamoulis</w:t>
            </w:r>
          </w:p>
        </w:tc>
        <w:tc>
          <w:tcPr>
            <w:tcW w:w="980" w:type="dxa"/>
            <w:vAlign w:val="bottom"/>
            <w:tcBorders>
              <w:bottom w:val="single" w:sz="8" w:color="auto"/>
            </w:tcBorders>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5,490,801</w:t>
            </w:r>
            <w:r>
              <w:rPr>
                <w:rFonts w:ascii="Arial" w:cs="Arial" w:eastAsia="Arial" w:hAnsi="Arial"/>
                <w:sz w:val="28"/>
                <w:szCs w:val="28"/>
                <w:color w:val="auto"/>
                <w:vertAlign w:val="subscript"/>
              </w:rPr>
              <w:t>​​ ​</w:t>
            </w:r>
          </w:p>
        </w:tc>
        <w:tc>
          <w:tcPr>
            <w:tcW w:w="360" w:type="dxa"/>
            <w:vAlign w:val="bottom"/>
            <w:tcBorders>
              <w:bottom w:val="single" w:sz="8" w:color="auto"/>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5,490,801</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Henriette Nielsen</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Lisa French</w:t>
            </w:r>
          </w:p>
        </w:tc>
        <w:tc>
          <w:tcPr>
            <w:tcW w:w="980" w:type="dxa"/>
            <w:vAlign w:val="bottom"/>
            <w:tcBorders>
              <w:bottom w:val="single" w:sz="8" w:color="auto"/>
            </w:tcBorders>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360" w:type="dxa"/>
            <w:vAlign w:val="bottom"/>
            <w:tcBorders>
              <w:bottom w:val="single" w:sz="8" w:color="auto"/>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Mark A. Tyndall</w:t>
            </w:r>
          </w:p>
        </w:tc>
        <w:tc>
          <w:tcPr>
            <w:tcW w:w="980" w:type="dxa"/>
            <w:vAlign w:val="bottom"/>
            <w:tcBorders>
              <w:bottom w:val="single" w:sz="8" w:color="auto"/>
            </w:tcBorders>
            <w:shd w:val="clear" w:color="auto" w:fill="E5E5E5"/>
          </w:tcPr>
          <w:p>
            <w:pPr>
              <w:ind w:left="68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auto"/>
            </w:tcBorders>
            <w:shd w:val="clear" w:color="auto" w:fill="E5E5E5"/>
          </w:tcPr>
          <w:p>
            <w:pPr>
              <w:spacing w:after="0"/>
              <w:rPr>
                <w:sz w:val="21"/>
                <w:szCs w:val="21"/>
                <w:color w:val="auto"/>
              </w:rPr>
            </w:pPr>
          </w:p>
        </w:tc>
        <w:tc>
          <w:tcPr>
            <w:tcW w:w="5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360" w:type="dxa"/>
            <w:vAlign w:val="bottom"/>
            <w:tcBorders>
              <w:bottom w:val="single" w:sz="8" w:color="auto"/>
            </w:tcBorders>
            <w:shd w:val="clear" w:color="auto" w:fill="E5E5E5"/>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Change in Control Termination:</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i w:val="1"/>
                <w:iCs w:val="1"/>
                <w:color w:val="auto"/>
              </w:rPr>
              <w:t>​ ​​</w:t>
            </w: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 ​</w:t>
            </w:r>
          </w:p>
        </w:tc>
        <w:tc>
          <w:tcPr>
            <w:tcW w:w="4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i w:val="1"/>
                <w:iCs w:val="1"/>
                <w:color w:val="auto"/>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i w:val="1"/>
                <w:iCs w:val="1"/>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rPr>
              <w:t>​​ ​​</w:t>
            </w: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Sigurdur O. Olafsson</w:t>
            </w:r>
          </w:p>
        </w:tc>
        <w:tc>
          <w:tcPr>
            <w:tcW w:w="4000" w:type="dxa"/>
            <w:vAlign w:val="bottom"/>
            <w:tcBorders>
              <w:bottom w:val="single" w:sz="8" w:color="auto"/>
            </w:tcBorders>
            <w:gridSpan w:val="7"/>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​11,400,000</w:t>
            </w:r>
            <w:r>
              <w:rPr>
                <w:rFonts w:ascii="Arial" w:cs="Arial" w:eastAsia="Arial" w:hAnsi="Arial"/>
                <w:sz w:val="28"/>
                <w:szCs w:val="28"/>
                <w:color w:val="auto"/>
                <w:vertAlign w:val="subscript"/>
              </w:rPr>
              <w:t>​​ ​ ​</w:t>
            </w:r>
            <w:r>
              <w:rPr>
                <w:rFonts w:ascii="Arial" w:cs="Arial" w:eastAsia="Arial" w:hAnsi="Arial"/>
                <w:sz w:val="15"/>
                <w:szCs w:val="15"/>
                <w:color w:val="auto"/>
              </w:rPr>
              <w:t xml:space="preserve">​6,000,000 </w:t>
            </w:r>
            <w:r>
              <w:rPr>
                <w:rFonts w:ascii="Arial" w:cs="Arial" w:eastAsia="Arial" w:hAnsi="Arial"/>
                <w:sz w:val="28"/>
                <w:szCs w:val="28"/>
                <w:color w:val="auto"/>
                <w:vertAlign w:val="subscript"/>
              </w:rPr>
              <w:t>​​ ​​</w:t>
            </w:r>
            <w:r>
              <w:rPr>
                <w:rFonts w:ascii="Arial" w:cs="Arial" w:eastAsia="Arial" w:hAnsi="Arial"/>
                <w:sz w:val="15"/>
                <w:szCs w:val="15"/>
                <w:color w:val="auto"/>
              </w:rPr>
              <w:t>​25,688,896</w:t>
            </w:r>
            <w:r>
              <w:rPr>
                <w:rFonts w:ascii="Arial" w:cs="Arial" w:eastAsia="Arial" w:hAnsi="Arial"/>
                <w:sz w:val="28"/>
                <w:szCs w:val="28"/>
                <w:color w:val="auto"/>
                <w:vertAlign w:val="subscript"/>
              </w:rPr>
              <w:t>​​ ​</w:t>
            </w:r>
          </w:p>
        </w:tc>
        <w:tc>
          <w:tcPr>
            <w:tcW w:w="980" w:type="dxa"/>
            <w:vAlign w:val="bottom"/>
            <w:tcBorders>
              <w:bottom w:val="single" w:sz="8" w:color="auto"/>
            </w:tcBorders>
            <w:gridSpan w:val="2"/>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​54,179</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​43,143,075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Christiana Stamoulis</w:t>
            </w:r>
          </w:p>
        </w:tc>
        <w:tc>
          <w:tcPr>
            <w:tcW w:w="4000" w:type="dxa"/>
            <w:vAlign w:val="bottom"/>
            <w:tcBorders>
              <w:bottom w:val="single" w:sz="8" w:color="auto"/>
            </w:tcBorders>
            <w:gridSpan w:val="7"/>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3,062,500</w:t>
            </w:r>
            <w:r>
              <w:rPr>
                <w:rFonts w:ascii="Arial" w:cs="Arial" w:eastAsia="Arial" w:hAnsi="Arial"/>
                <w:sz w:val="28"/>
                <w:szCs w:val="28"/>
                <w:color w:val="auto"/>
                <w:vertAlign w:val="subscript"/>
              </w:rPr>
              <w:t>​​ ​ ​</w:t>
            </w:r>
            <w:r>
              <w:rPr>
                <w:rFonts w:ascii="Arial" w:cs="Arial" w:eastAsia="Arial" w:hAnsi="Arial"/>
                <w:sz w:val="15"/>
                <w:szCs w:val="15"/>
                <w:color w:val="auto"/>
              </w:rPr>
              <w:t xml:space="preserve">​1,000,000 </w:t>
            </w:r>
            <w:r>
              <w:rPr>
                <w:rFonts w:ascii="Arial" w:cs="Arial" w:eastAsia="Arial" w:hAnsi="Arial"/>
                <w:sz w:val="28"/>
                <w:szCs w:val="28"/>
                <w:color w:val="auto"/>
                <w:vertAlign w:val="subscript"/>
              </w:rPr>
              <w:t>​​ ​​</w:t>
            </w:r>
            <w:r>
              <w:rPr>
                <w:rFonts w:ascii="Arial" w:cs="Arial" w:eastAsia="Arial" w:hAnsi="Arial"/>
                <w:sz w:val="15"/>
                <w:szCs w:val="15"/>
                <w:color w:val="auto"/>
              </w:rPr>
              <w:t>​ 5,490,801</w:t>
            </w:r>
            <w:r>
              <w:rPr>
                <w:rFonts w:ascii="Arial" w:cs="Arial" w:eastAsia="Arial" w:hAnsi="Arial"/>
                <w:sz w:val="28"/>
                <w:szCs w:val="28"/>
                <w:color w:val="auto"/>
                <w:vertAlign w:val="subscript"/>
              </w:rPr>
              <w:t>​​ ​</w:t>
            </w:r>
          </w:p>
        </w:tc>
        <w:tc>
          <w:tcPr>
            <w:tcW w:w="98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​46,824</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9,600,125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Henriette Nielsen</w:t>
            </w:r>
          </w:p>
        </w:tc>
        <w:tc>
          <w:tcPr>
            <w:tcW w:w="2020" w:type="dxa"/>
            <w:vAlign w:val="bottom"/>
            <w:tcBorders>
              <w:bottom w:val="single" w:sz="8" w:color="auto"/>
            </w:tcBorders>
            <w:gridSpan w:val="3"/>
            <w:shd w:val="clear" w:color="auto" w:fill="E5E5E5"/>
          </w:tcPr>
          <w:p>
            <w:pPr>
              <w:ind w:left="6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2,241,540</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980" w:type="dxa"/>
            <w:vAlign w:val="bottom"/>
            <w:tcBorders>
              <w:bottom w:val="single" w:sz="8" w:color="auto"/>
            </w:tcBorders>
            <w:gridSpan w:val="2"/>
            <w:shd w:val="clear" w:color="auto" w:fill="E5E5E5"/>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​51,723</w:t>
            </w:r>
          </w:p>
        </w:tc>
        <w:tc>
          <w:tcPr>
            <w:tcW w:w="1180" w:type="dxa"/>
            <w:vAlign w:val="bottom"/>
            <w:tcBorders>
              <w:bottom w:val="single" w:sz="8" w:color="auto"/>
            </w:tcBorders>
            <w:gridSpan w:val="3"/>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6,254,570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Lisa French</w:t>
            </w:r>
          </w:p>
        </w:tc>
        <w:tc>
          <w:tcPr>
            <w:tcW w:w="2020" w:type="dxa"/>
            <w:vAlign w:val="bottom"/>
            <w:tcBorders>
              <w:bottom w:val="single" w:sz="8" w:color="auto"/>
            </w:tcBorders>
            <w:gridSpan w:val="3"/>
          </w:tcPr>
          <w:p>
            <w:pPr>
              <w:ind w:left="6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2,148,272</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3,961,307</w:t>
            </w:r>
            <w:r>
              <w:rPr>
                <w:rFonts w:ascii="Arial" w:cs="Arial" w:eastAsia="Arial" w:hAnsi="Arial"/>
                <w:sz w:val="28"/>
                <w:szCs w:val="28"/>
                <w:color w:val="auto"/>
                <w:vertAlign w:val="subscript"/>
              </w:rPr>
              <w:t>​​ ​</w:t>
            </w:r>
          </w:p>
        </w:tc>
        <w:tc>
          <w:tcPr>
            <w:tcW w:w="980" w:type="dxa"/>
            <w:vAlign w:val="bottom"/>
            <w:tcBorders>
              <w:bottom w:val="single" w:sz="8" w:color="auto"/>
            </w:tcBorders>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​40,444</w:t>
            </w:r>
          </w:p>
        </w:tc>
        <w:tc>
          <w:tcPr>
            <w:tcW w:w="11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6,150,023</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37"/>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Mark A. Tyndall</w:t>
            </w:r>
          </w:p>
        </w:tc>
        <w:tc>
          <w:tcPr>
            <w:tcW w:w="2020" w:type="dxa"/>
            <w:vAlign w:val="bottom"/>
            <w:tcBorders>
              <w:bottom w:val="single" w:sz="8" w:color="auto"/>
            </w:tcBorders>
            <w:gridSpan w:val="3"/>
            <w:shd w:val="clear" w:color="auto" w:fill="E5E5E5"/>
          </w:tcPr>
          <w:p>
            <w:pPr>
              <w:ind w:left="680"/>
              <w:spacing w:after="0"/>
              <w:rPr>
                <w:sz w:val="20"/>
                <w:szCs w:val="20"/>
                <w:color w:val="auto"/>
              </w:rPr>
            </w:pPr>
            <w:r>
              <w:rPr>
                <w:rFonts w:ascii="Arial" w:cs="Arial" w:eastAsia="Arial" w:hAnsi="Arial"/>
                <w:sz w:val="16"/>
                <w:szCs w:val="16"/>
                <w:color w:val="auto"/>
              </w:rPr>
              <w:t>​ ​​ 2,130,806​​ ​ ​</w:t>
            </w:r>
          </w:p>
        </w:tc>
        <w:tc>
          <w:tcPr>
            <w:tcW w:w="460" w:type="dxa"/>
            <w:vAlign w:val="bottom"/>
            <w:tcBorders>
              <w:bottom w:val="single" w:sz="8" w:color="auto"/>
            </w:tcBorders>
            <w:shd w:val="clear" w:color="auto" w:fill="E5E5E5"/>
          </w:tcPr>
          <w:p>
            <w:pPr>
              <w:spacing w:after="0"/>
              <w:rPr>
                <w:sz w:val="20"/>
                <w:szCs w:val="20"/>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9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3,961,307​​ ​</w:t>
            </w:r>
          </w:p>
        </w:tc>
        <w:tc>
          <w:tcPr>
            <w:tcW w:w="980" w:type="dxa"/>
            <w:vAlign w:val="bottom"/>
            <w:tcBorders>
              <w:bottom w:val="single" w:sz="8" w:color="auto"/>
            </w:tcBorders>
            <w:gridSpan w:val="2"/>
            <w:shd w:val="clear" w:color="auto" w:fill="E5E5E5"/>
          </w:tcPr>
          <w:p>
            <w:pPr>
              <w:ind w:left="240"/>
              <w:spacing w:after="0"/>
              <w:rPr>
                <w:sz w:val="20"/>
                <w:szCs w:val="20"/>
                <w:color w:val="auto"/>
              </w:rPr>
            </w:pPr>
            <w:r>
              <w:rPr>
                <w:rFonts w:ascii="Arial" w:cs="Arial" w:eastAsia="Arial" w:hAnsi="Arial"/>
                <w:sz w:val="16"/>
                <w:szCs w:val="16"/>
                <w:color w:val="auto"/>
              </w:rPr>
              <w:t>​51,729</w:t>
            </w:r>
          </w:p>
        </w:tc>
        <w:tc>
          <w:tcPr>
            <w:tcW w:w="3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6"/>
                <w:szCs w:val="16"/>
                <w:color w:val="auto"/>
              </w:rPr>
              <w:t>6,143,842​​</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040" w:right="680" w:hanging="368"/>
        <w:spacing w:after="0" w:line="281" w:lineRule="auto"/>
        <w:tabs>
          <w:tab w:leader="none" w:pos="10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Amounts relate to CEO Cash Inducement Award and the CFO Cash Inducement Award provided for in the 2025 CEO Agreement and the CFO Agreement, respectively.</w:t>
      </w:r>
    </w:p>
    <w:p>
      <w:pPr>
        <w:spacing w:after="0" w:line="27" w:lineRule="exact"/>
        <w:rPr>
          <w:rFonts w:ascii="Arial" w:cs="Arial" w:eastAsia="Arial" w:hAnsi="Arial"/>
          <w:sz w:val="13"/>
          <w:szCs w:val="13"/>
          <w:color w:val="auto"/>
        </w:rPr>
      </w:pPr>
    </w:p>
    <w:p>
      <w:pPr>
        <w:ind w:left="1040" w:right="900" w:hanging="368"/>
        <w:spacing w:after="0" w:line="281" w:lineRule="auto"/>
        <w:tabs>
          <w:tab w:leader="none" w:pos="10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Reflects the aggregate value of RSUs subject to vesting (inclusive of the Converted PSUs) based on the fair value of our ordinary shares at December 31, 2025.</w:t>
      </w:r>
    </w:p>
    <w:p>
      <w:pPr>
        <w:spacing w:after="0" w:line="27" w:lineRule="exact"/>
        <w:rPr>
          <w:rFonts w:ascii="Arial" w:cs="Arial" w:eastAsia="Arial" w:hAnsi="Arial"/>
          <w:sz w:val="13"/>
          <w:szCs w:val="13"/>
          <w:color w:val="auto"/>
        </w:rPr>
      </w:pPr>
    </w:p>
    <w:p>
      <w:pPr>
        <w:ind w:left="1040" w:right="100" w:hanging="368"/>
        <w:spacing w:after="0" w:line="259" w:lineRule="auto"/>
        <w:tabs>
          <w:tab w:leader="none" w:pos="10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amounts in this column for Ms. Stamoulis relate entirely to the CFO Inducement Equity Award. Pursuant to the award agreement governing the CFO Inducement Equity Award as of December 31, 2025, the vesting of such RSUs would only accelerate upon a change in control if the RSUs were not, in connection with such change in control, substituted with comparable awards payable in shares of publicly traded stock after the change in control. In February 2026, this award agreement was amended to provide for full vesting upon a Change in Control as defined in the 2025 Plan.</w:t>
      </w:r>
    </w:p>
    <w:p>
      <w:pPr>
        <w:spacing w:after="0" w:line="29" w:lineRule="exact"/>
        <w:rPr>
          <w:rFonts w:ascii="Arial" w:cs="Arial" w:eastAsia="Arial" w:hAnsi="Arial"/>
          <w:sz w:val="13"/>
          <w:szCs w:val="13"/>
          <w:color w:val="auto"/>
        </w:rPr>
      </w:pPr>
    </w:p>
    <w:p>
      <w:pPr>
        <w:ind w:left="1040" w:right="220" w:hanging="368"/>
        <w:spacing w:after="0" w:line="255" w:lineRule="auto"/>
        <w:tabs>
          <w:tab w:leader="none" w:pos="10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2025 CEO Agreement, the CFO Agreement and the 2024 NEO Agreements each include a Code Section 280G “best-net cutback” provision that provides that, in the event any payment or benefit provided under such employment agreement or any other arrangement with us or our affiliates constitutes “parachute payments” within the meaning of Section 280G of the Code, then such payments and/or benefits will either be (i) provided to the NEO in full or (ii) be reduced to the extent necessary to avoid the excise tax imposed by Section 4999 of the Code, whichever results in the executive receiving a greater amount on an after-tax basis.” Adjustments have not been made to the amounts shown to either reflect any amounts that would be paid as excise taxes or any reductions in payments as a result of the greater after-tax provision.</w:t>
      </w:r>
    </w:p>
    <w:p>
      <w:pPr>
        <w:spacing w:after="0" w:line="173"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43</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CEO Pay Ratio</w:t>
      </w:r>
    </w:p>
    <w:p>
      <w:pPr>
        <w:spacing w:after="0" w:line="112" w:lineRule="exact"/>
        <w:rPr>
          <w:sz w:val="20"/>
          <w:szCs w:val="20"/>
          <w:color w:val="auto"/>
        </w:rPr>
      </w:pPr>
    </w:p>
    <w:p>
      <w:pPr>
        <w:ind w:left="680" w:right="280"/>
        <w:spacing w:after="0" w:line="286" w:lineRule="auto"/>
        <w:rPr>
          <w:sz w:val="20"/>
          <w:szCs w:val="20"/>
          <w:color w:val="auto"/>
        </w:rPr>
      </w:pPr>
      <w:r>
        <w:rPr>
          <w:rFonts w:ascii="Arial" w:cs="Arial" w:eastAsia="Arial" w:hAnsi="Arial"/>
          <w:sz w:val="16"/>
          <w:szCs w:val="16"/>
          <w:color w:val="auto"/>
        </w:rPr>
        <w:t>As required by the Dodd-Frank Wall Street Reform and Consumer Protection Act, we are presenting the ratio of our CEO’s annual total compensation to our median employee’s annual total compensation.</w:t>
      </w:r>
    </w:p>
    <w:p>
      <w:pPr>
        <w:spacing w:after="0" w:line="129" w:lineRule="exact"/>
        <w:rPr>
          <w:sz w:val="20"/>
          <w:szCs w:val="20"/>
          <w:color w:val="auto"/>
        </w:rPr>
      </w:pPr>
    </w:p>
    <w:p>
      <w:pPr>
        <w:ind w:left="680" w:right="60"/>
        <w:spacing w:after="0" w:line="250" w:lineRule="auto"/>
        <w:rPr>
          <w:sz w:val="20"/>
          <w:szCs w:val="20"/>
          <w:color w:val="auto"/>
        </w:rPr>
      </w:pPr>
      <w:r>
        <w:rPr>
          <w:rFonts w:ascii="Arial" w:cs="Arial" w:eastAsia="Arial" w:hAnsi="Arial"/>
          <w:sz w:val="16"/>
          <w:szCs w:val="16"/>
          <w:color w:val="auto"/>
        </w:rPr>
        <w:t>As permitted under the SEC rules, we used annual gross wages as reported in our payroll system as our consistently applied compensation measure to determine our median employee. We maintained the same determination date as reported in prior years of October 1 to determine our employee workforce. Approximately 3,030 employees as of that date were individuals who had become employees of the Company as a result of the Business Combination with Endo in July 2025 (such employees, “Legacy Endo Employees”). We have omitted Legacy Endo Employees from our employee population for the purpose of determining our median employee, as permitted by Instruction 7 to Item 402(u) of Regulation S-K. We annualized pay for those employees included in our employee population who commenced work during the twelve-month period wages were considered. We identified employees who were paid within a 2% range of the median. We selected an employee from that group and determined that person’s total 2025 compensation was $108,968. Based on the total 2025 compensation of Mr. Olafsson of $47,351,608 reported in the Summary Compensation Table, our ratio of CEO pay to median worker pay for 2025 is approximately 435:1. This ratio was determined using reasonable estimates as permitted by the SEC’s rules and should not be used as a comparison with pay ratios disclosed by other companies.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Pay Versus Performance</w:t>
      </w:r>
    </w:p>
    <w:p>
      <w:pPr>
        <w:spacing w:after="0" w:line="112" w:lineRule="exact"/>
        <w:rPr>
          <w:sz w:val="20"/>
          <w:szCs w:val="20"/>
          <w:color w:val="auto"/>
        </w:rPr>
      </w:pPr>
    </w:p>
    <w:p>
      <w:pPr>
        <w:ind w:left="680" w:right="40"/>
        <w:spacing w:after="0" w:line="259" w:lineRule="auto"/>
        <w:rPr>
          <w:sz w:val="20"/>
          <w:szCs w:val="20"/>
          <w:color w:val="auto"/>
        </w:rPr>
      </w:pPr>
      <w:r>
        <w:rPr>
          <w:rFonts w:ascii="Arial" w:cs="Arial" w:eastAsia="Arial" w:hAnsi="Arial"/>
          <w:sz w:val="16"/>
          <w:szCs w:val="16"/>
          <w:color w:val="auto"/>
        </w:rPr>
        <w:t>The disclosure included in this section is prescribed by SEC rules and does not necessarily align with how the Company or the HRCC views the link between the Company’s performance and its NEO’s pay. For a discussion of how the Company views its executive compensation structure, including alignment with Company performance, see the discussion at the beginning of the section entitled “Compensation Discussion and Analysis.”</w:t>
      </w:r>
    </w:p>
    <w:p>
      <w:pPr>
        <w:spacing w:after="0" w:line="151" w:lineRule="exact"/>
        <w:rPr>
          <w:sz w:val="20"/>
          <w:szCs w:val="20"/>
          <w:color w:val="auto"/>
        </w:rPr>
      </w:pPr>
    </w:p>
    <w:p>
      <w:pPr>
        <w:ind w:left="680" w:right="140"/>
        <w:spacing w:after="0" w:line="259" w:lineRule="auto"/>
        <w:rPr>
          <w:sz w:val="20"/>
          <w:szCs w:val="20"/>
          <w:color w:val="auto"/>
        </w:rPr>
      </w:pPr>
      <w:r>
        <w:rPr>
          <w:rFonts w:ascii="Arial" w:cs="Arial" w:eastAsia="Arial" w:hAnsi="Arial"/>
          <w:sz w:val="16"/>
          <w:szCs w:val="16"/>
          <w:color w:val="auto"/>
        </w:rPr>
        <w:t>In accordance with SEC rules, the following table and supporting narrative contain information regarding compensation actually paid (“CAP”). Neither CAP nor the amount reported in the Summary Compensation Table (“SCT”) reflect the amount of compensation actually paid, earned or received during the applicable year. Per SEC rules, CAP was calculated by adjusting SCT total compensation values for the applicable year as described in the footnotes to the following table.</w:t>
      </w:r>
    </w:p>
    <w:p>
      <w:pPr>
        <w:spacing w:after="0" w:line="137" w:lineRule="exact"/>
        <w:rPr>
          <w:sz w:val="20"/>
          <w:szCs w:val="20"/>
          <w:color w:val="auto"/>
        </w:rPr>
      </w:pPr>
    </w:p>
    <w:p>
      <w:pPr>
        <w:ind w:left="680" w:right="540"/>
        <w:spacing w:after="0" w:line="286" w:lineRule="auto"/>
        <w:rPr>
          <w:sz w:val="20"/>
          <w:szCs w:val="20"/>
          <w:color w:val="auto"/>
        </w:rPr>
      </w:pPr>
      <w:r>
        <w:rPr>
          <w:rFonts w:ascii="Arial" w:cs="Arial" w:eastAsia="Arial" w:hAnsi="Arial"/>
          <w:sz w:val="16"/>
          <w:szCs w:val="16"/>
          <w:color w:val="auto"/>
        </w:rPr>
        <w:t>The HRCC did not consider the pay versus performance data presented below in making its pay decisions for any of the years shown.</w:t>
      </w:r>
    </w:p>
    <w:p>
      <w:pPr>
        <w:spacing w:after="0" w:line="15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00514B"/>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111760</wp:posOffset>
            </wp:positionV>
            <wp:extent cx="5966460" cy="831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6460" cy="831850"/>
                    </a:xfrm>
                    <a:prstGeom prst="rect">
                      <a:avLst/>
                    </a:prstGeom>
                    <a:noFill/>
                  </pic:spPr>
                </pic:pic>
              </a:graphicData>
            </a:graphic>
          </wp:anchor>
        </w:drawing>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3"/>
                <w:szCs w:val="13"/>
                <w:b w:val="1"/>
                <w:bCs w:val="1"/>
                <w:color w:val="auto"/>
              </w:rPr>
              <w:t>Value of Initial Fixed $100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700" w:type="dxa"/>
            <w:vAlign w:val="bottom"/>
            <w:gridSpan w:val="3"/>
          </w:tcPr>
          <w:p>
            <w:pPr>
              <w:jc w:val="center"/>
              <w:spacing w:after="0"/>
              <w:rPr>
                <w:sz w:val="20"/>
                <w:szCs w:val="20"/>
                <w:color w:val="auto"/>
              </w:rPr>
            </w:pPr>
            <w:r>
              <w:rPr>
                <w:rFonts w:ascii="Arial" w:cs="Arial" w:eastAsia="Arial" w:hAnsi="Arial"/>
                <w:sz w:val="13"/>
                <w:szCs w:val="13"/>
                <w:b w:val="1"/>
                <w:bCs w:val="1"/>
                <w:color w:val="auto"/>
              </w:rPr>
              <w:t>Investment Based On:</w:t>
            </w:r>
          </w:p>
        </w:tc>
        <w:tc>
          <w:tcPr>
            <w:tcW w:w="1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2"/>
        </w:trPr>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center"/>
              <w:ind w:left="73"/>
              <w:spacing w:after="0"/>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4"/>
                <w:szCs w:val="14"/>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Peer Group</w:t>
            </w: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rPr>
              <w:t>GAAP</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jc w:val="center"/>
              <w:ind w:right="99"/>
              <w:spacing w:after="0"/>
              <w:rPr>
                <w:sz w:val="20"/>
                <w:szCs w:val="20"/>
                <w:color w:val="auto"/>
              </w:rPr>
            </w:pPr>
            <w:r>
              <w:rPr>
                <w:rFonts w:ascii="Arial" w:cs="Arial" w:eastAsia="Arial" w:hAnsi="Arial"/>
                <w:sz w:val="13"/>
                <w:szCs w:val="13"/>
                <w:b w:val="1"/>
                <w:bCs w:val="1"/>
                <w:color w:val="auto"/>
                <w:w w:val="99"/>
              </w:rPr>
              <w:t>SCT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39"/>
              <w:spacing w:after="0"/>
              <w:rPr>
                <w:sz w:val="20"/>
                <w:szCs w:val="20"/>
                <w:color w:val="auto"/>
              </w:rPr>
            </w:pPr>
            <w:r>
              <w:rPr>
                <w:rFonts w:ascii="Arial" w:cs="Arial" w:eastAsia="Arial" w:hAnsi="Arial"/>
                <w:sz w:val="13"/>
                <w:szCs w:val="13"/>
                <w:b w:val="1"/>
                <w:bCs w:val="1"/>
                <w:color w:val="auto"/>
              </w:rPr>
              <w:t>SCT</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center"/>
              <w:ind w:left="73"/>
              <w:spacing w:after="0"/>
              <w:rPr>
                <w:sz w:val="20"/>
                <w:szCs w:val="20"/>
                <w:color w:val="auto"/>
              </w:rPr>
            </w:pPr>
            <w:r>
              <w:rPr>
                <w:rFonts w:ascii="Arial" w:cs="Arial" w:eastAsia="Arial" w:hAnsi="Arial"/>
                <w:sz w:val="13"/>
                <w:szCs w:val="13"/>
                <w:b w:val="1"/>
                <w:bCs w:val="1"/>
                <w:color w:val="auto"/>
              </w:rPr>
              <w:t>SCT Total</w:t>
            </w:r>
          </w:p>
        </w:tc>
        <w:tc>
          <w:tcPr>
            <w:tcW w:w="200" w:type="dxa"/>
            <w:vAlign w:val="bottom"/>
          </w:tcPr>
          <w:p>
            <w:pPr>
              <w:spacing w:after="0"/>
              <w:rPr>
                <w:sz w:val="14"/>
                <w:szCs w:val="14"/>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b w:val="1"/>
                <w:bCs w:val="1"/>
                <w:color w:val="auto"/>
              </w:rPr>
              <w:t>CAP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center"/>
              <w:ind w:right="114"/>
              <w:spacing w:after="0"/>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00" w:type="dxa"/>
            <w:vAlign w:val="bottom"/>
          </w:tcPr>
          <w:p>
            <w:pPr>
              <w:spacing w:after="0"/>
              <w:rPr>
                <w:sz w:val="15"/>
                <w:szCs w:val="15"/>
                <w:color w:val="auto"/>
              </w:rPr>
            </w:pPr>
          </w:p>
        </w:tc>
        <w:tc>
          <w:tcPr>
            <w:tcW w:w="920" w:type="dxa"/>
            <w:vAlign w:val="bottom"/>
            <w:gridSpan w:val="2"/>
          </w:tcPr>
          <w:p>
            <w:pPr>
              <w:jc w:val="center"/>
              <w:ind w:left="214"/>
              <w:spacing w:after="0"/>
              <w:rPr>
                <w:sz w:val="20"/>
                <w:szCs w:val="20"/>
                <w:color w:val="auto"/>
              </w:rPr>
            </w:pPr>
            <w:r>
              <w:rPr>
                <w:rFonts w:ascii="Arial" w:cs="Arial" w:eastAsia="Arial" w:hAnsi="Arial"/>
                <w:sz w:val="13"/>
                <w:szCs w:val="13"/>
                <w:b w:val="1"/>
                <w:bCs w:val="1"/>
                <w:color w:val="auto"/>
                <w:w w:val="99"/>
              </w:rPr>
              <w:t>Total for</w:t>
            </w:r>
          </w:p>
        </w:tc>
        <w:tc>
          <w:tcPr>
            <w:tcW w:w="2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for</w:t>
            </w:r>
          </w:p>
        </w:tc>
        <w:tc>
          <w:tcPr>
            <w:tcW w:w="800" w:type="dxa"/>
            <w:vAlign w:val="bottom"/>
            <w:gridSpan w:val="2"/>
          </w:tcPr>
          <w:p>
            <w:pPr>
              <w:ind w:left="260"/>
              <w:spacing w:after="0"/>
              <w:rPr>
                <w:sz w:val="20"/>
                <w:szCs w:val="20"/>
                <w:color w:val="auto"/>
              </w:rPr>
            </w:pPr>
            <w:r>
              <w:rPr>
                <w:rFonts w:ascii="Arial" w:cs="Arial" w:eastAsia="Arial" w:hAnsi="Arial"/>
                <w:sz w:val="13"/>
                <w:szCs w:val="13"/>
                <w:b w:val="1"/>
                <w:bCs w:val="1"/>
                <w:color w:val="auto"/>
              </w:rPr>
              <w:t>CAP to</w:t>
            </w:r>
          </w:p>
        </w:tc>
        <w:tc>
          <w:tcPr>
            <w:tcW w:w="26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rPr>
              <w:t>CAP to</w:t>
            </w:r>
          </w:p>
        </w:tc>
        <w:tc>
          <w:tcPr>
            <w:tcW w:w="840" w:type="dxa"/>
            <w:vAlign w:val="bottom"/>
          </w:tcPr>
          <w:p>
            <w:pPr>
              <w:jc w:val="center"/>
              <w:ind w:left="73"/>
              <w:spacing w:after="0"/>
              <w:rPr>
                <w:sz w:val="20"/>
                <w:szCs w:val="20"/>
                <w:color w:val="auto"/>
              </w:rPr>
            </w:pPr>
            <w:r>
              <w:rPr>
                <w:rFonts w:ascii="Arial" w:cs="Arial" w:eastAsia="Arial" w:hAnsi="Arial"/>
                <w:sz w:val="13"/>
                <w:szCs w:val="13"/>
                <w:b w:val="1"/>
                <w:bCs w:val="1"/>
                <w:color w:val="auto"/>
              </w:rPr>
              <w:t>for Other</w:t>
            </w:r>
          </w:p>
        </w:tc>
        <w:tc>
          <w:tcPr>
            <w:tcW w:w="20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rPr>
              <w:t>Shareholder</w:t>
            </w:r>
          </w:p>
        </w:tc>
        <w:tc>
          <w:tcPr>
            <w:tcW w:w="92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Shareholder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102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Consolidated</w:t>
            </w:r>
          </w:p>
        </w:tc>
        <w:tc>
          <w:tcPr>
            <w:tcW w:w="100" w:type="dxa"/>
            <w:vAlign w:val="bottom"/>
          </w:tcPr>
          <w:p>
            <w:pPr>
              <w:spacing w:after="0"/>
              <w:rPr>
                <w:sz w:val="15"/>
                <w:szCs w:val="15"/>
                <w:color w:val="auto"/>
              </w:rPr>
            </w:pPr>
          </w:p>
        </w:tc>
      </w:tr>
      <w:tr>
        <w:trPr>
          <w:trHeight w:val="162"/>
        </w:trPr>
        <w:tc>
          <w:tcPr>
            <w:tcW w:w="600" w:type="dxa"/>
            <w:vAlign w:val="bottom"/>
          </w:tcPr>
          <w:p>
            <w:pPr>
              <w:spacing w:after="0"/>
              <w:rPr>
                <w:sz w:val="14"/>
                <w:szCs w:val="14"/>
                <w:color w:val="auto"/>
              </w:rPr>
            </w:pPr>
          </w:p>
        </w:tc>
        <w:tc>
          <w:tcPr>
            <w:tcW w:w="920" w:type="dxa"/>
            <w:vAlign w:val="bottom"/>
            <w:gridSpan w:val="2"/>
          </w:tcPr>
          <w:p>
            <w:pPr>
              <w:jc w:val="center"/>
              <w:ind w:left="214"/>
              <w:spacing w:after="0"/>
              <w:rPr>
                <w:sz w:val="20"/>
                <w:szCs w:val="20"/>
                <w:color w:val="auto"/>
              </w:rPr>
            </w:pPr>
            <w:r>
              <w:rPr>
                <w:rFonts w:ascii="Arial" w:cs="Arial" w:eastAsia="Arial" w:hAnsi="Arial"/>
                <w:sz w:val="13"/>
                <w:szCs w:val="13"/>
                <w:b w:val="1"/>
                <w:bCs w:val="1"/>
                <w:color w:val="auto"/>
              </w:rPr>
              <w:t>CEO #1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39"/>
              <w:spacing w:after="0"/>
              <w:rPr>
                <w:sz w:val="20"/>
                <w:szCs w:val="20"/>
                <w:color w:val="auto"/>
              </w:rPr>
            </w:pPr>
            <w:r>
              <w:rPr>
                <w:rFonts w:ascii="Arial" w:cs="Arial" w:eastAsia="Arial" w:hAnsi="Arial"/>
                <w:sz w:val="13"/>
                <w:szCs w:val="13"/>
                <w:b w:val="1"/>
                <w:bCs w:val="1"/>
                <w:color w:val="auto"/>
              </w:rPr>
              <w:t>CEO #2</w:t>
            </w:r>
          </w:p>
        </w:tc>
        <w:tc>
          <w:tcPr>
            <w:tcW w:w="800" w:type="dxa"/>
            <w:vAlign w:val="bottom"/>
            <w:gridSpan w:val="2"/>
          </w:tcPr>
          <w:p>
            <w:pPr>
              <w:ind w:left="240"/>
              <w:spacing w:after="0"/>
              <w:rPr>
                <w:sz w:val="20"/>
                <w:szCs w:val="20"/>
                <w:color w:val="auto"/>
              </w:rPr>
            </w:pPr>
            <w:r>
              <w:rPr>
                <w:rFonts w:ascii="Arial" w:cs="Arial" w:eastAsia="Arial" w:hAnsi="Arial"/>
                <w:sz w:val="13"/>
                <w:szCs w:val="13"/>
                <w:b w:val="1"/>
                <w:bCs w:val="1"/>
                <w:color w:val="auto"/>
              </w:rPr>
              <w:t>CEO #1</w:t>
            </w:r>
          </w:p>
        </w:tc>
        <w:tc>
          <w:tcPr>
            <w:tcW w:w="2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rPr>
              <w:t>CEO #2</w:t>
            </w:r>
          </w:p>
        </w:tc>
        <w:tc>
          <w:tcPr>
            <w:tcW w:w="840" w:type="dxa"/>
            <w:vAlign w:val="bottom"/>
          </w:tcPr>
          <w:p>
            <w:pPr>
              <w:jc w:val="center"/>
              <w:ind w:left="73"/>
              <w:spacing w:after="0"/>
              <w:rPr>
                <w:sz w:val="20"/>
                <w:szCs w:val="20"/>
                <w:color w:val="auto"/>
              </w:rPr>
            </w:pPr>
            <w:r>
              <w:rPr>
                <w:rFonts w:ascii="Arial" w:cs="Arial" w:eastAsia="Arial" w:hAnsi="Arial"/>
                <w:sz w:val="13"/>
                <w:szCs w:val="13"/>
                <w:b w:val="1"/>
                <w:bCs w:val="1"/>
                <w:color w:val="auto"/>
              </w:rPr>
              <w:t>NEOs</w:t>
            </w:r>
          </w:p>
        </w:tc>
        <w:tc>
          <w:tcPr>
            <w:tcW w:w="200" w:type="dxa"/>
            <w:vAlign w:val="bottom"/>
          </w:tcPr>
          <w:p>
            <w:pPr>
              <w:spacing w:after="0"/>
              <w:rPr>
                <w:sz w:val="14"/>
                <w:szCs w:val="14"/>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NEOs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Return</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Return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rPr>
              <w:t>(Loss)</w:t>
            </w:r>
          </w:p>
        </w:tc>
        <w:tc>
          <w:tcPr>
            <w:tcW w:w="200" w:type="dxa"/>
            <w:vAlign w:val="bottom"/>
          </w:tcPr>
          <w:p>
            <w:pPr>
              <w:spacing w:after="0"/>
              <w:rPr>
                <w:sz w:val="14"/>
                <w:szCs w:val="14"/>
                <w:color w:val="auto"/>
              </w:rPr>
            </w:pPr>
          </w:p>
        </w:tc>
        <w:tc>
          <w:tcPr>
            <w:tcW w:w="820" w:type="dxa"/>
            <w:vAlign w:val="bottom"/>
          </w:tcPr>
          <w:p>
            <w:pPr>
              <w:jc w:val="center"/>
              <w:ind w:right="14"/>
              <w:spacing w:after="0"/>
              <w:rPr>
                <w:sz w:val="20"/>
                <w:szCs w:val="20"/>
                <w:color w:val="auto"/>
              </w:rPr>
            </w:pPr>
            <w:r>
              <w:rPr>
                <w:rFonts w:ascii="Arial" w:cs="Arial" w:eastAsia="Arial" w:hAnsi="Arial"/>
                <w:sz w:val="13"/>
                <w:szCs w:val="13"/>
                <w:b w:val="1"/>
                <w:bCs w:val="1"/>
                <w:color w:val="auto"/>
              </w:rPr>
              <w:t>Net Sales</w:t>
            </w:r>
          </w:p>
        </w:tc>
        <w:tc>
          <w:tcPr>
            <w:tcW w:w="100" w:type="dxa"/>
            <w:vAlign w:val="bottom"/>
          </w:tcPr>
          <w:p>
            <w:pPr>
              <w:spacing w:after="0"/>
              <w:rPr>
                <w:sz w:val="14"/>
                <w:szCs w:val="14"/>
                <w:color w:val="auto"/>
              </w:rPr>
            </w:pPr>
          </w:p>
        </w:tc>
      </w:tr>
      <w:tr>
        <w:trPr>
          <w:trHeight w:val="231"/>
        </w:trPr>
        <w:tc>
          <w:tcPr>
            <w:tcW w:w="600" w:type="dxa"/>
            <w:vAlign w:val="bottom"/>
            <w:tcBorders>
              <w:bottom w:val="single" w:sz="8" w:color="auto"/>
            </w:tcBorders>
          </w:tcPr>
          <w:p>
            <w:pPr>
              <w:ind w:left="60"/>
              <w:spacing w:after="0" w:line="231"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 Year</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ind w:right="119"/>
              <w:spacing w:after="0" w:line="231" w:lineRule="exact"/>
              <w:rPr>
                <w:sz w:val="20"/>
                <w:szCs w:val="20"/>
                <w:color w:val="auto"/>
              </w:rPr>
            </w:pPr>
            <w:r>
              <w:rPr>
                <w:rFonts w:ascii="Arial" w:cs="Arial" w:eastAsia="Arial" w:hAnsi="Arial"/>
                <w:sz w:val="26"/>
                <w:szCs w:val="26"/>
                <w:b w:val="1"/>
                <w:bCs w:val="1"/>
                <w:color w:val="auto"/>
                <w:w w:val="96"/>
                <w:vertAlign w:val="subscript"/>
              </w:rPr>
              <w:t>($)</w:t>
            </w:r>
            <w:r>
              <w:rPr>
                <w:rFonts w:ascii="Arial" w:cs="Arial" w:eastAsia="Arial" w:hAnsi="Arial"/>
                <w:sz w:val="8"/>
                <w:szCs w:val="8"/>
                <w:b w:val="1"/>
                <w:bCs w:val="1"/>
                <w:color w:val="auto"/>
                <w:w w:val="96"/>
              </w:rPr>
              <w:t>(1)</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9"/>
              <w:spacing w:after="0" w:line="231"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8"/>
                <w:szCs w:val="8"/>
                <w:b w:val="1"/>
                <w:bCs w:val="1"/>
                <w:color w:val="auto"/>
                <w:w w:val="83"/>
              </w:rPr>
              <w:t>(2)</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96"/>
              </w:rPr>
              <w:t>($)</w:t>
            </w:r>
            <w:r>
              <w:rPr>
                <w:rFonts w:ascii="Arial" w:cs="Arial" w:eastAsia="Arial" w:hAnsi="Arial"/>
                <w:sz w:val="16"/>
                <w:szCs w:val="16"/>
                <w:b w:val="1"/>
                <w:bCs w:val="1"/>
                <w:color w:val="auto"/>
                <w:w w:val="96"/>
                <w:vertAlign w:val="superscript"/>
              </w:rPr>
              <w:t>(1)</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840" w:type="dxa"/>
            <w:vAlign w:val="bottom"/>
            <w:tcBorders>
              <w:bottom w:val="single" w:sz="8" w:color="auto"/>
            </w:tcBorders>
          </w:tcPr>
          <w:p>
            <w:pPr>
              <w:ind w:left="100"/>
              <w:spacing w:after="0" w:line="231"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(3)</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(3)</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(5)</w:t>
            </w:r>
          </w:p>
        </w:tc>
        <w:tc>
          <w:tcPr>
            <w:tcW w:w="940" w:type="dxa"/>
            <w:vAlign w:val="bottom"/>
            <w:tcBorders>
              <w:bottom w:val="single" w:sz="8" w:color="auto"/>
            </w:tcBorders>
            <w:gridSpan w:val="5"/>
          </w:tcPr>
          <w:p>
            <w:pPr>
              <w:jc w:val="right"/>
              <w:spacing w:after="0" w:line="231"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(millions) </w:t>
            </w:r>
            <w:r>
              <w:rPr>
                <w:rFonts w:ascii="Arial" w:cs="Arial" w:eastAsia="Arial" w:hAnsi="Arial"/>
                <w:sz w:val="26"/>
                <w:szCs w:val="26"/>
                <w:b w:val="1"/>
                <w:bCs w:val="1"/>
                <w:color w:val="auto"/>
                <w:vertAlign w:val="subscript"/>
              </w:rPr>
              <w:t>​​</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(millions)</w:t>
            </w:r>
            <w:r>
              <w:rPr>
                <w:rFonts w:ascii="Arial" w:cs="Arial" w:eastAsia="Arial" w:hAnsi="Arial"/>
                <w:sz w:val="16"/>
                <w:szCs w:val="16"/>
                <w:b w:val="1"/>
                <w:bCs w:val="1"/>
                <w:color w:val="auto"/>
                <w:vertAlign w:val="superscript"/>
              </w:rPr>
              <w:t>(6)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223"/>
        </w:trPr>
        <w:tc>
          <w:tcPr>
            <w:tcW w:w="60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2025</w:t>
            </w:r>
          </w:p>
        </w:tc>
        <w:tc>
          <w:tcPr>
            <w:tcW w:w="420" w:type="dxa"/>
            <w:vAlign w:val="bottom"/>
            <w:tcBorders>
              <w:bottom w:val="single" w:sz="8" w:color="auto"/>
            </w:tcBorders>
          </w:tcPr>
          <w:p>
            <w:pPr>
              <w:ind w:left="20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720" w:type="dxa"/>
            <w:vAlign w:val="bottom"/>
            <w:tcBorders>
              <w:bottom w:val="single" w:sz="8" w:color="auto"/>
            </w:tcBorders>
            <w:gridSpan w:val="2"/>
          </w:tcPr>
          <w:p>
            <w:pPr>
              <w:ind w:left="320"/>
              <w:spacing w:after="0" w:line="223" w:lineRule="exact"/>
              <w:rPr>
                <w:sz w:val="20"/>
                <w:szCs w:val="20"/>
                <w:color w:val="auto"/>
              </w:rPr>
            </w:pPr>
            <w:r>
              <w:rPr>
                <w:rFonts w:ascii="Arial" w:cs="Arial" w:eastAsia="Arial" w:hAnsi="Arial"/>
                <w:sz w:val="25"/>
                <w:szCs w:val="25"/>
                <w:color w:val="auto"/>
                <w:vertAlign w:val="superscript"/>
              </w:rPr>
              <w:t>N/A</w:t>
            </w: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940" w:type="dxa"/>
            <w:vAlign w:val="bottom"/>
            <w:tcBorders>
              <w:bottom w:val="single" w:sz="8" w:color="auto"/>
            </w:tcBorders>
            <w:gridSpan w:val="3"/>
          </w:tcPr>
          <w:p>
            <w:pPr>
              <w:ind w:left="20"/>
              <w:spacing w:after="0" w:line="223" w:lineRule="exact"/>
              <w:rPr>
                <w:sz w:val="20"/>
                <w:szCs w:val="20"/>
                <w:color w:val="auto"/>
              </w:rPr>
            </w:pPr>
            <w:r>
              <w:rPr>
                <w:rFonts w:ascii="Arial" w:cs="Arial" w:eastAsia="Arial" w:hAnsi="Arial"/>
                <w:sz w:val="13"/>
                <w:szCs w:val="13"/>
                <w:color w:val="auto"/>
              </w:rPr>
              <w:t>47,351,608</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2360" w:type="dxa"/>
            <w:vAlign w:val="bottom"/>
            <w:tcBorders>
              <w:bottom w:val="single" w:sz="8" w:color="auto"/>
            </w:tcBorders>
            <w:gridSpan w:val="5"/>
          </w:tcPr>
          <w:p>
            <w:pPr>
              <w:jc w:val="right"/>
              <w:spacing w:after="0" w:line="223" w:lineRule="exact"/>
              <w:rPr>
                <w:sz w:val="20"/>
                <w:szCs w:val="20"/>
                <w:color w:val="auto"/>
              </w:rPr>
            </w:pPr>
            <w:r>
              <w:rPr>
                <w:rFonts w:ascii="Arial" w:cs="Arial" w:eastAsia="Arial" w:hAnsi="Arial"/>
                <w:sz w:val="13"/>
                <w:szCs w:val="13"/>
                <w:color w:val="auto"/>
              </w:rPr>
              <w:t>N/A</w:t>
            </w:r>
            <w:r>
              <w:rPr>
                <w:rFonts w:ascii="Arial" w:cs="Arial" w:eastAsia="Arial" w:hAnsi="Arial"/>
                <w:sz w:val="25"/>
                <w:szCs w:val="25"/>
                <w:color w:val="auto"/>
                <w:vertAlign w:val="subscript"/>
              </w:rPr>
              <w:t>​​​​</w:t>
            </w:r>
            <w:r>
              <w:rPr>
                <w:rFonts w:ascii="Arial" w:cs="Arial" w:eastAsia="Arial" w:hAnsi="Arial"/>
                <w:sz w:val="13"/>
                <w:szCs w:val="13"/>
                <w:color w:val="auto"/>
              </w:rPr>
              <w:t>$60,074,922</w:t>
            </w:r>
            <w:r>
              <w:rPr>
                <w:rFonts w:ascii="Arial" w:cs="Arial" w:eastAsia="Arial" w:hAnsi="Arial"/>
                <w:sz w:val="25"/>
                <w:szCs w:val="25"/>
                <w:color w:val="auto"/>
                <w:vertAlign w:val="subscript"/>
              </w:rPr>
              <w:t>​​​​</w:t>
            </w:r>
            <w:r>
              <w:rPr>
                <w:rFonts w:ascii="Arial" w:cs="Arial" w:eastAsia="Arial" w:hAnsi="Arial"/>
                <w:sz w:val="13"/>
                <w:szCs w:val="13"/>
                <w:color w:val="auto"/>
              </w:rPr>
              <w:t>$9,108,612</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11,235,687</w:t>
            </w:r>
            <w:r>
              <w:rPr>
                <w:rFonts w:ascii="Arial" w:cs="Arial" w:eastAsia="Arial" w:hAnsi="Arial"/>
                <w:sz w:val="25"/>
                <w:szCs w:val="25"/>
                <w:color w:val="auto"/>
                <w:vertAlign w:val="subscript"/>
              </w:rPr>
              <w:t>​​​</w:t>
            </w:r>
          </w:p>
        </w:tc>
        <w:tc>
          <w:tcPr>
            <w:tcW w:w="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62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13"/>
                <w:szCs w:val="13"/>
                <w:color w:val="auto"/>
              </w:rPr>
              <w:t xml:space="preserve">(490) </w:t>
            </w:r>
            <w:r>
              <w:rPr>
                <w:rFonts w:ascii="Arial" w:cs="Arial" w:eastAsia="Arial" w:hAnsi="Arial"/>
                <w:sz w:val="25"/>
                <w:szCs w:val="25"/>
                <w:color w:val="auto"/>
                <w:vertAlign w:val="subscript"/>
              </w:rPr>
              <w:t>​​​</w:t>
            </w:r>
          </w:p>
        </w:tc>
        <w:tc>
          <w:tcPr>
            <w:tcW w:w="8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$2,371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00" w:type="dxa"/>
            <w:vAlign w:val="bottom"/>
            <w:tcBorders>
              <w:bottom w:val="single" w:sz="8" w:color="auto"/>
            </w:tcBorders>
            <w:shd w:val="clear" w:color="auto" w:fill="E5E5E5"/>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2024</w:t>
            </w:r>
          </w:p>
        </w:tc>
        <w:tc>
          <w:tcPr>
            <w:tcW w:w="420" w:type="dxa"/>
            <w:vAlign w:val="bottom"/>
            <w:tcBorders>
              <w:bottom w:val="single" w:sz="8" w:color="auto"/>
            </w:tcBorders>
            <w:shd w:val="clear" w:color="auto" w:fill="E5E5E5"/>
          </w:tcPr>
          <w:p>
            <w:pPr>
              <w:ind w:left="20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720" w:type="dxa"/>
            <w:vAlign w:val="bottom"/>
            <w:tcBorders>
              <w:bottom w:val="single" w:sz="8" w:color="auto"/>
            </w:tcBorders>
            <w:gridSpan w:val="2"/>
            <w:shd w:val="clear" w:color="auto" w:fill="E5E5E5"/>
          </w:tcPr>
          <w:p>
            <w:pPr>
              <w:ind w:left="320"/>
              <w:spacing w:after="0" w:line="223" w:lineRule="exact"/>
              <w:rPr>
                <w:sz w:val="20"/>
                <w:szCs w:val="20"/>
                <w:color w:val="auto"/>
              </w:rPr>
            </w:pPr>
            <w:r>
              <w:rPr>
                <w:rFonts w:ascii="Arial" w:cs="Arial" w:eastAsia="Arial" w:hAnsi="Arial"/>
                <w:sz w:val="13"/>
                <w:szCs w:val="13"/>
                <w:color w:val="auto"/>
              </w:rPr>
              <w:t>N/A</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940" w:type="dxa"/>
            <w:vAlign w:val="bottom"/>
            <w:tcBorders>
              <w:bottom w:val="single" w:sz="8" w:color="auto"/>
            </w:tcBorders>
            <w:gridSpan w:val="3"/>
            <w:shd w:val="clear" w:color="auto" w:fill="E5E5E5"/>
          </w:tcPr>
          <w:p>
            <w:pPr>
              <w:ind w:left="20"/>
              <w:spacing w:after="0" w:line="223" w:lineRule="exact"/>
              <w:rPr>
                <w:sz w:val="20"/>
                <w:szCs w:val="20"/>
                <w:color w:val="auto"/>
              </w:rPr>
            </w:pPr>
            <w:r>
              <w:rPr>
                <w:rFonts w:ascii="Arial" w:cs="Arial" w:eastAsia="Arial" w:hAnsi="Arial"/>
                <w:sz w:val="13"/>
                <w:szCs w:val="13"/>
                <w:color w:val="auto"/>
              </w:rPr>
              <w:t>27,251,192</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2360" w:type="dxa"/>
            <w:vAlign w:val="bottom"/>
            <w:tcBorders>
              <w:bottom w:val="single" w:sz="8" w:color="auto"/>
            </w:tcBorders>
            <w:gridSpan w:val="5"/>
            <w:shd w:val="clear" w:color="auto" w:fill="E5E5E5"/>
          </w:tcPr>
          <w:p>
            <w:pPr>
              <w:jc w:val="right"/>
              <w:spacing w:after="0" w:line="223" w:lineRule="exact"/>
              <w:rPr>
                <w:sz w:val="20"/>
                <w:szCs w:val="20"/>
                <w:color w:val="auto"/>
              </w:rPr>
            </w:pPr>
            <w:r>
              <w:rPr>
                <w:rFonts w:ascii="Arial" w:cs="Arial" w:eastAsia="Arial" w:hAnsi="Arial"/>
                <w:sz w:val="13"/>
                <w:szCs w:val="13"/>
                <w:color w:val="auto"/>
              </w:rPr>
              <w:t>N/A</w:t>
            </w:r>
            <w:r>
              <w:rPr>
                <w:rFonts w:ascii="Arial" w:cs="Arial" w:eastAsia="Arial" w:hAnsi="Arial"/>
                <w:sz w:val="25"/>
                <w:szCs w:val="25"/>
                <w:color w:val="auto"/>
                <w:vertAlign w:val="subscript"/>
              </w:rPr>
              <w:t>​​​​</w:t>
            </w:r>
            <w:r>
              <w:rPr>
                <w:rFonts w:ascii="Arial" w:cs="Arial" w:eastAsia="Arial" w:hAnsi="Arial"/>
                <w:sz w:val="13"/>
                <w:szCs w:val="13"/>
                <w:color w:val="auto"/>
              </w:rPr>
              <w:t>$24,342,316</w:t>
            </w:r>
            <w:r>
              <w:rPr>
                <w:rFonts w:ascii="Arial" w:cs="Arial" w:eastAsia="Arial" w:hAnsi="Arial"/>
                <w:sz w:val="25"/>
                <w:szCs w:val="25"/>
                <w:color w:val="auto"/>
                <w:vertAlign w:val="subscript"/>
              </w:rPr>
              <w:t>​​​​</w:t>
            </w:r>
            <w:r>
              <w:rPr>
                <w:rFonts w:ascii="Arial" w:cs="Arial" w:eastAsia="Arial" w:hAnsi="Arial"/>
                <w:sz w:val="13"/>
                <w:szCs w:val="13"/>
                <w:color w:val="auto"/>
              </w:rPr>
              <w:t>$5,121,209</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0" w:type="dxa"/>
            <w:vAlign w:val="bottom"/>
            <w:tcBorders>
              <w:bottom w:val="single" w:sz="8" w:color="auto"/>
            </w:tcBorders>
            <w:gridSpan w:val="3"/>
            <w:shd w:val="clear" w:color="auto" w:fill="E5E5E5"/>
          </w:tcPr>
          <w:p>
            <w:pPr>
              <w:jc w:val="right"/>
              <w:spacing w:after="0" w:line="223" w:lineRule="exact"/>
              <w:rPr>
                <w:sz w:val="20"/>
                <w:szCs w:val="20"/>
                <w:color w:val="auto"/>
              </w:rPr>
            </w:pPr>
            <w:r>
              <w:rPr>
                <w:rFonts w:ascii="Arial" w:cs="Arial" w:eastAsia="Arial" w:hAnsi="Arial"/>
                <w:sz w:val="13"/>
                <w:szCs w:val="13"/>
                <w:color w:val="auto"/>
              </w:rPr>
              <w:t>4,503,031</w:t>
            </w:r>
            <w:r>
              <w:rPr>
                <w:rFonts w:ascii="Arial" w:cs="Arial" w:eastAsia="Arial" w:hAnsi="Arial"/>
                <w:sz w:val="25"/>
                <w:szCs w:val="25"/>
                <w:color w:val="auto"/>
                <w:vertAlign w:val="subscript"/>
              </w:rPr>
              <w:t>​​​</w:t>
            </w:r>
          </w:p>
        </w:tc>
        <w:tc>
          <w:tcPr>
            <w:tcW w:w="780" w:type="dxa"/>
            <w:vAlign w:val="bottom"/>
            <w:tcBorders>
              <w:bottom w:val="single" w:sz="8" w:color="auto"/>
            </w:tcBorders>
            <w:shd w:val="clear" w:color="auto" w:fill="E5E5E5"/>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E5E5"/>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80" w:type="dxa"/>
            <w:vAlign w:val="bottom"/>
            <w:tcBorders>
              <w:bottom w:val="single" w:sz="8" w:color="auto"/>
            </w:tcBorders>
            <w:gridSpan w:val="2"/>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E5E5E5"/>
          </w:tcPr>
          <w:p>
            <w:pPr>
              <w:ind w:left="4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478</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5E5E5"/>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$1,980</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0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2023</w:t>
            </w:r>
          </w:p>
        </w:tc>
        <w:tc>
          <w:tcPr>
            <w:tcW w:w="420" w:type="dxa"/>
            <w:vAlign w:val="bottom"/>
            <w:tcBorders>
              <w:bottom w:val="single" w:sz="8" w:color="auto"/>
            </w:tcBorders>
          </w:tcPr>
          <w:p>
            <w:pPr>
              <w:ind w:left="20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720" w:type="dxa"/>
            <w:vAlign w:val="bottom"/>
            <w:tcBorders>
              <w:bottom w:val="single" w:sz="8" w:color="auto"/>
            </w:tcBorders>
            <w:gridSpan w:val="2"/>
          </w:tcPr>
          <w:p>
            <w:pPr>
              <w:ind w:left="320"/>
              <w:spacing w:after="0" w:line="223" w:lineRule="exact"/>
              <w:rPr>
                <w:sz w:val="20"/>
                <w:szCs w:val="20"/>
                <w:color w:val="auto"/>
              </w:rPr>
            </w:pPr>
            <w:r>
              <w:rPr>
                <w:rFonts w:ascii="Arial" w:cs="Arial" w:eastAsia="Arial" w:hAnsi="Arial"/>
                <w:sz w:val="25"/>
                <w:szCs w:val="25"/>
                <w:color w:val="auto"/>
                <w:vertAlign w:val="superscript"/>
              </w:rPr>
              <w:t>N/A</w:t>
            </w: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940" w:type="dxa"/>
            <w:vAlign w:val="bottom"/>
            <w:tcBorders>
              <w:bottom w:val="single" w:sz="8" w:color="auto"/>
            </w:tcBorders>
            <w:gridSpan w:val="3"/>
          </w:tcPr>
          <w:p>
            <w:pPr>
              <w:ind w:left="20"/>
              <w:spacing w:after="0" w:line="223" w:lineRule="exact"/>
              <w:rPr>
                <w:sz w:val="20"/>
                <w:szCs w:val="20"/>
                <w:color w:val="auto"/>
              </w:rPr>
            </w:pPr>
            <w:r>
              <w:rPr>
                <w:rFonts w:ascii="Arial" w:cs="Arial" w:eastAsia="Arial" w:hAnsi="Arial"/>
                <w:sz w:val="13"/>
                <w:szCs w:val="13"/>
                <w:color w:val="auto"/>
              </w:rPr>
              <w:t>14,089,756</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4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5"/>
                <w:szCs w:val="25"/>
                <w:color w:val="auto"/>
                <w:vertAlign w:val="superscript"/>
              </w:rPr>
              <w:t>N/A</w:t>
            </w: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62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524,667</w:t>
            </w:r>
            <w:r>
              <w:rPr>
                <w:rFonts w:ascii="Arial" w:cs="Arial" w:eastAsia="Arial" w:hAnsi="Arial"/>
                <w:sz w:val="25"/>
                <w:szCs w:val="25"/>
                <w:color w:val="auto"/>
                <w:vertAlign w:val="subscript"/>
              </w:rPr>
              <w:t>​​​​</w:t>
            </w:r>
            <w:r>
              <w:rPr>
                <w:rFonts w:ascii="Arial" w:cs="Arial" w:eastAsia="Arial" w:hAnsi="Arial"/>
                <w:sz w:val="13"/>
                <w:szCs w:val="13"/>
                <w:color w:val="auto"/>
              </w:rPr>
              <w:t>$6,659,753</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3,028,813</w:t>
            </w:r>
            <w:r>
              <w:rPr>
                <w:rFonts w:ascii="Arial" w:cs="Arial" w:eastAsia="Arial" w:hAnsi="Arial"/>
                <w:sz w:val="25"/>
                <w:szCs w:val="25"/>
                <w:color w:val="auto"/>
                <w:vertAlign w:val="subscript"/>
              </w:rPr>
              <w:t>​​​</w:t>
            </w:r>
          </w:p>
        </w:tc>
        <w:tc>
          <w:tcPr>
            <w:tcW w:w="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$(1,670) </w:t>
            </w:r>
            <w:r>
              <w:rPr>
                <w:rFonts w:ascii="Arial" w:cs="Arial" w:eastAsia="Arial" w:hAnsi="Arial"/>
                <w:sz w:val="25"/>
                <w:szCs w:val="25"/>
                <w:color w:val="auto"/>
                <w:vertAlign w:val="subscript"/>
              </w:rPr>
              <w:t>​​​</w:t>
            </w:r>
          </w:p>
        </w:tc>
        <w:tc>
          <w:tcPr>
            <w:tcW w:w="8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$1,623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00" w:type="dxa"/>
            <w:vAlign w:val="bottom"/>
            <w:tcBorders>
              <w:bottom w:val="single" w:sz="8" w:color="auto"/>
            </w:tcBorders>
            <w:shd w:val="clear" w:color="auto" w:fill="E5E5E5"/>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2022</w:t>
            </w:r>
          </w:p>
        </w:tc>
        <w:tc>
          <w:tcPr>
            <w:tcW w:w="1140" w:type="dxa"/>
            <w:vAlign w:val="bottom"/>
            <w:tcBorders>
              <w:bottom w:val="single" w:sz="8" w:color="auto"/>
            </w:tcBorders>
            <w:gridSpan w:val="3"/>
            <w:shd w:val="clear" w:color="auto" w:fill="E5E5E5"/>
          </w:tcPr>
          <w:p>
            <w:pPr>
              <w:ind w:left="2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$6,626,033</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 w:type="dxa"/>
            <w:vAlign w:val="bottom"/>
            <w:tcBorders>
              <w:bottom w:val="single" w:sz="8" w:color="auto"/>
            </w:tcBorders>
            <w:shd w:val="clear" w:color="auto" w:fill="E5E5E5"/>
          </w:tcPr>
          <w:p>
            <w:pPr>
              <w:spacing w:after="0"/>
              <w:rPr>
                <w:sz w:val="19"/>
                <w:szCs w:val="19"/>
                <w:color w:val="auto"/>
              </w:rPr>
            </w:pPr>
          </w:p>
        </w:tc>
        <w:tc>
          <w:tcPr>
            <w:tcW w:w="1640" w:type="dxa"/>
            <w:vAlign w:val="bottom"/>
            <w:tcBorders>
              <w:bottom w:val="single" w:sz="8" w:color="auto"/>
            </w:tcBorders>
            <w:gridSpan w:val="4"/>
            <w:shd w:val="clear" w:color="auto" w:fill="E5E5E5"/>
          </w:tcPr>
          <w:p>
            <w:pPr>
              <w:jc w:val="right"/>
              <w:spacing w:after="0" w:line="223" w:lineRule="exact"/>
              <w:rPr>
                <w:sz w:val="20"/>
                <w:szCs w:val="20"/>
                <w:color w:val="auto"/>
              </w:rPr>
            </w:pPr>
            <w:r>
              <w:rPr>
                <w:rFonts w:ascii="Arial" w:cs="Arial" w:eastAsia="Arial" w:hAnsi="Arial"/>
                <w:sz w:val="13"/>
                <w:szCs w:val="13"/>
                <w:color w:val="auto"/>
              </w:rPr>
              <w:t>6,431,741</w:t>
            </w:r>
            <w:r>
              <w:rPr>
                <w:rFonts w:ascii="Arial" w:cs="Arial" w:eastAsia="Arial" w:hAnsi="Arial"/>
                <w:sz w:val="25"/>
                <w:szCs w:val="25"/>
                <w:color w:val="auto"/>
                <w:vertAlign w:val="subscript"/>
              </w:rPr>
              <w:t>​​​​</w:t>
            </w:r>
            <w:r>
              <w:rPr>
                <w:rFonts w:ascii="Arial" w:cs="Arial" w:eastAsia="Arial" w:hAnsi="Arial"/>
                <w:sz w:val="13"/>
                <w:szCs w:val="13"/>
                <w:color w:val="auto"/>
              </w:rPr>
              <w:t>$6,626,033</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620" w:type="dxa"/>
            <w:vAlign w:val="bottom"/>
            <w:tcBorders>
              <w:bottom w:val="single" w:sz="8" w:color="auto"/>
            </w:tcBorders>
            <w:gridSpan w:val="3"/>
            <w:shd w:val="clear" w:color="auto" w:fill="E5E5E5"/>
          </w:tcPr>
          <w:p>
            <w:pPr>
              <w:jc w:val="right"/>
              <w:spacing w:after="0" w:line="223" w:lineRule="exact"/>
              <w:rPr>
                <w:sz w:val="20"/>
                <w:szCs w:val="20"/>
                <w:color w:val="auto"/>
              </w:rPr>
            </w:pPr>
            <w:r>
              <w:rPr>
                <w:rFonts w:ascii="Arial" w:cs="Arial" w:eastAsia="Arial" w:hAnsi="Arial"/>
                <w:sz w:val="13"/>
                <w:szCs w:val="13"/>
                <w:color w:val="auto"/>
              </w:rPr>
              <w:t>5,514,924</w:t>
            </w:r>
            <w:r>
              <w:rPr>
                <w:rFonts w:ascii="Arial" w:cs="Arial" w:eastAsia="Arial" w:hAnsi="Arial"/>
                <w:sz w:val="25"/>
                <w:szCs w:val="25"/>
                <w:color w:val="auto"/>
                <w:vertAlign w:val="subscript"/>
              </w:rPr>
              <w:t>​​​​</w:t>
            </w:r>
            <w:r>
              <w:rPr>
                <w:rFonts w:ascii="Arial" w:cs="Arial" w:eastAsia="Arial" w:hAnsi="Arial"/>
                <w:sz w:val="13"/>
                <w:szCs w:val="13"/>
                <w:color w:val="auto"/>
              </w:rPr>
              <w:t>$2,854,557</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0" w:type="dxa"/>
            <w:vAlign w:val="bottom"/>
            <w:tcBorders>
              <w:bottom w:val="single" w:sz="8" w:color="auto"/>
            </w:tcBorders>
            <w:gridSpan w:val="3"/>
            <w:shd w:val="clear" w:color="auto" w:fill="E5E5E5"/>
          </w:tcPr>
          <w:p>
            <w:pPr>
              <w:jc w:val="right"/>
              <w:spacing w:after="0" w:line="223" w:lineRule="exact"/>
              <w:rPr>
                <w:sz w:val="20"/>
                <w:szCs w:val="20"/>
                <w:color w:val="auto"/>
              </w:rPr>
            </w:pPr>
            <w:r>
              <w:rPr>
                <w:rFonts w:ascii="Arial" w:cs="Arial" w:eastAsia="Arial" w:hAnsi="Arial"/>
                <w:sz w:val="13"/>
                <w:szCs w:val="13"/>
                <w:color w:val="auto"/>
              </w:rPr>
              <w:t>2,650,330</w:t>
            </w:r>
            <w:r>
              <w:rPr>
                <w:rFonts w:ascii="Arial" w:cs="Arial" w:eastAsia="Arial" w:hAnsi="Arial"/>
                <w:sz w:val="25"/>
                <w:szCs w:val="25"/>
                <w:color w:val="auto"/>
                <w:vertAlign w:val="subscript"/>
              </w:rPr>
              <w:t>​​​</w:t>
            </w:r>
          </w:p>
        </w:tc>
        <w:tc>
          <w:tcPr>
            <w:tcW w:w="780" w:type="dxa"/>
            <w:vAlign w:val="bottom"/>
            <w:tcBorders>
              <w:bottom w:val="single" w:sz="8" w:color="auto"/>
            </w:tcBorders>
            <w:shd w:val="clear" w:color="auto" w:fill="E5E5E5"/>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$ 42</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E5E5"/>
          </w:tcPr>
          <w:p>
            <w:pPr>
              <w:jc w:val="center"/>
              <w:spacing w:after="0" w:line="223" w:lineRule="exact"/>
              <w:rPr>
                <w:sz w:val="20"/>
                <w:szCs w:val="20"/>
                <w:color w:val="auto"/>
              </w:rPr>
            </w:pPr>
            <w:r>
              <w:rPr>
                <w:rFonts w:ascii="Arial" w:cs="Arial" w:eastAsia="Arial" w:hAnsi="Arial"/>
                <w:sz w:val="25"/>
                <w:szCs w:val="25"/>
                <w:color w:val="auto"/>
                <w:w w:val="92"/>
                <w:vertAlign w:val="subscript"/>
              </w:rPr>
              <w:t>​</w:t>
            </w:r>
            <w:r>
              <w:rPr>
                <w:rFonts w:ascii="Arial" w:cs="Arial" w:eastAsia="Arial" w:hAnsi="Arial"/>
                <w:sz w:val="13"/>
                <w:szCs w:val="13"/>
                <w:color w:val="auto"/>
                <w:w w:val="92"/>
              </w:rPr>
              <w:t>$ 111</w:t>
            </w:r>
          </w:p>
        </w:tc>
        <w:tc>
          <w:tcPr>
            <w:tcW w:w="180" w:type="dxa"/>
            <w:vAlign w:val="bottom"/>
            <w:tcBorders>
              <w:bottom w:val="single" w:sz="8" w:color="auto"/>
            </w:tcBorders>
            <w:gridSpan w:val="2"/>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E5E5E5"/>
          </w:tcPr>
          <w:p>
            <w:pPr>
              <w:ind w:left="4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620" w:type="dxa"/>
            <w:vAlign w:val="bottom"/>
            <w:tcBorders>
              <w:bottom w:val="single" w:sz="8" w:color="auto"/>
            </w:tcBorders>
            <w:gridSpan w:val="2"/>
            <w:shd w:val="clear" w:color="auto" w:fill="E5E5E5"/>
          </w:tcPr>
          <w:p>
            <w:pPr>
              <w:jc w:val="right"/>
              <w:spacing w:after="0" w:line="223" w:lineRule="exact"/>
              <w:rPr>
                <w:sz w:val="20"/>
                <w:szCs w:val="20"/>
                <w:color w:val="auto"/>
              </w:rPr>
            </w:pPr>
            <w:r>
              <w:rPr>
                <w:rFonts w:ascii="Arial" w:cs="Arial" w:eastAsia="Arial" w:hAnsi="Arial"/>
                <w:sz w:val="13"/>
                <w:szCs w:val="13"/>
                <w:color w:val="auto"/>
              </w:rPr>
              <w:t xml:space="preserve">(911) </w:t>
            </w:r>
            <w:r>
              <w:rPr>
                <w:rFonts w:ascii="Arial" w:cs="Arial" w:eastAsia="Arial" w:hAnsi="Arial"/>
                <w:sz w:val="25"/>
                <w:szCs w:val="25"/>
                <w:color w:val="auto"/>
                <w:vertAlign w:val="subscript"/>
              </w:rPr>
              <w:t>​​​</w:t>
            </w:r>
          </w:p>
        </w:tc>
        <w:tc>
          <w:tcPr>
            <w:tcW w:w="820" w:type="dxa"/>
            <w:vAlign w:val="bottom"/>
            <w:tcBorders>
              <w:bottom w:val="single" w:sz="8" w:color="auto"/>
            </w:tcBorders>
            <w:shd w:val="clear" w:color="auto" w:fill="E5E5E5"/>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$1,914</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0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2021</w:t>
            </w:r>
          </w:p>
        </w:tc>
        <w:tc>
          <w:tcPr>
            <w:tcW w:w="1180" w:type="dxa"/>
            <w:vAlign w:val="bottom"/>
            <w:tcBorders>
              <w:bottom w:val="single" w:sz="8" w:color="auto"/>
            </w:tcBorders>
            <w:gridSpan w:val="4"/>
          </w:tcPr>
          <w:p>
            <w:pPr>
              <w:ind w:left="2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$8,975,983</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1640" w:type="dxa"/>
            <w:vAlign w:val="bottom"/>
            <w:tcBorders>
              <w:bottom w:val="single" w:sz="8" w:color="auto"/>
            </w:tcBorders>
            <w:gridSpan w:val="4"/>
          </w:tcPr>
          <w:p>
            <w:pPr>
              <w:jc w:val="right"/>
              <w:spacing w:after="0" w:line="223" w:lineRule="exact"/>
              <w:rPr>
                <w:sz w:val="20"/>
                <w:szCs w:val="20"/>
                <w:color w:val="auto"/>
              </w:rPr>
            </w:pPr>
            <w:r>
              <w:rPr>
                <w:rFonts w:ascii="Arial" w:cs="Arial" w:eastAsia="Arial" w:hAnsi="Arial"/>
                <w:sz w:val="13"/>
                <w:szCs w:val="13"/>
                <w:color w:val="auto"/>
              </w:rPr>
              <w:t>N/A</w:t>
            </w:r>
            <w:r>
              <w:rPr>
                <w:rFonts w:ascii="Arial" w:cs="Arial" w:eastAsia="Arial" w:hAnsi="Arial"/>
                <w:sz w:val="25"/>
                <w:szCs w:val="25"/>
                <w:color w:val="auto"/>
                <w:vertAlign w:val="subscript"/>
              </w:rPr>
              <w:t>​​​​</w:t>
            </w:r>
            <w:r>
              <w:rPr>
                <w:rFonts w:ascii="Arial" w:cs="Arial" w:eastAsia="Arial" w:hAnsi="Arial"/>
                <w:sz w:val="13"/>
                <w:szCs w:val="13"/>
                <w:color w:val="auto"/>
              </w:rPr>
              <w:t>$8,978,348</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162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N/A</w:t>
            </w:r>
            <w:r>
              <w:rPr>
                <w:rFonts w:ascii="Arial" w:cs="Arial" w:eastAsia="Arial" w:hAnsi="Arial"/>
                <w:sz w:val="25"/>
                <w:szCs w:val="25"/>
                <w:color w:val="auto"/>
                <w:vertAlign w:val="subscript"/>
              </w:rPr>
              <w:t>​​​​</w:t>
            </w:r>
            <w:r>
              <w:rPr>
                <w:rFonts w:ascii="Arial" w:cs="Arial" w:eastAsia="Arial" w:hAnsi="Arial"/>
                <w:sz w:val="13"/>
                <w:szCs w:val="13"/>
                <w:color w:val="auto"/>
              </w:rPr>
              <w:t>$3,329,371</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3,327,359</w:t>
            </w:r>
            <w:r>
              <w:rPr>
                <w:rFonts w:ascii="Arial" w:cs="Arial" w:eastAsia="Arial" w:hAnsi="Arial"/>
                <w:sz w:val="25"/>
                <w:szCs w:val="25"/>
                <w:color w:val="auto"/>
                <w:vertAlign w:val="subscript"/>
              </w:rPr>
              <w:t>​​​</w:t>
            </w:r>
          </w:p>
        </w:tc>
        <w:tc>
          <w:tcPr>
            <w:tcW w:w="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​N/A</w:t>
            </w:r>
          </w:p>
        </w:tc>
        <w:tc>
          <w:tcPr>
            <w:tcW w:w="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2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13"/>
                <w:szCs w:val="13"/>
                <w:color w:val="auto"/>
              </w:rPr>
              <w:t xml:space="preserve">(717) </w:t>
            </w:r>
            <w:r>
              <w:rPr>
                <w:rFonts w:ascii="Arial" w:cs="Arial" w:eastAsia="Arial" w:hAnsi="Arial"/>
                <w:sz w:val="25"/>
                <w:szCs w:val="25"/>
                <w:color w:val="auto"/>
                <w:vertAlign w:val="subscript"/>
              </w:rPr>
              <w:t>​​​</w:t>
            </w:r>
          </w:p>
        </w:tc>
        <w:tc>
          <w:tcPr>
            <w:tcW w:w="8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$2,209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bl>
    <w:p>
      <w:pPr>
        <w:spacing w:after="0" w:line="149" w:lineRule="exact"/>
        <w:rPr>
          <w:sz w:val="20"/>
          <w:szCs w:val="20"/>
          <w:color w:val="auto"/>
        </w:rPr>
      </w:pPr>
    </w:p>
    <w:p>
      <w:pPr>
        <w:ind w:left="1040" w:hanging="368"/>
        <w:spacing w:after="0"/>
        <w:tabs>
          <w:tab w:leader="none" w:pos="10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Mark Trudeau served as our CEO in 2021 and 2022.</w:t>
      </w:r>
    </w:p>
    <w:p>
      <w:pPr>
        <w:spacing w:after="0" w:line="80" w:lineRule="exact"/>
        <w:rPr>
          <w:rFonts w:ascii="Arial" w:cs="Arial" w:eastAsia="Arial" w:hAnsi="Arial"/>
          <w:sz w:val="13"/>
          <w:szCs w:val="13"/>
          <w:color w:val="auto"/>
        </w:rPr>
      </w:pPr>
    </w:p>
    <w:p>
      <w:pPr>
        <w:ind w:left="1040" w:hanging="368"/>
        <w:spacing w:after="0"/>
        <w:tabs>
          <w:tab w:leader="none" w:pos="10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Sigurdur O. Olafsson served as our CEO in 2022, 2023, 2024, and 2025.</w:t>
      </w:r>
    </w:p>
    <w:p>
      <w:pPr>
        <w:spacing w:after="0" w:line="66" w:lineRule="exact"/>
        <w:rPr>
          <w:rFonts w:ascii="Arial" w:cs="Arial" w:eastAsia="Arial" w:hAnsi="Arial"/>
          <w:sz w:val="13"/>
          <w:szCs w:val="13"/>
          <w:color w:val="auto"/>
        </w:rPr>
      </w:pPr>
    </w:p>
    <w:p>
      <w:pPr>
        <w:jc w:val="both"/>
        <w:ind w:left="1040" w:right="140" w:hanging="368"/>
        <w:spacing w:after="0" w:line="270" w:lineRule="auto"/>
        <w:tabs>
          <w:tab w:leader="none" w:pos="10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Our other NEOs serving in 2021 were Hugh M. O’Neill and Dr. Steven J. Romano. Our other NEOs serving in 2022 were Bryan M. Reasons, Mr. O’Neill, Dr. Romano, Mark A. Tyndall, Stephen Welch and Henriette Nielsen. Our other NEOs serving in 2024 were Mr. Reasons and Dr. Peter Richardson. Our other NEOs serving in 2025 were Ms. Stamoulis, Ms. Nielsen, Ms. French, Mr. Tyndall and Mr. Reasons.</w:t>
      </w:r>
    </w:p>
    <w:p>
      <w:pPr>
        <w:spacing w:after="0" w:line="35" w:lineRule="exact"/>
        <w:rPr>
          <w:rFonts w:ascii="Arial" w:cs="Arial" w:eastAsia="Arial" w:hAnsi="Arial"/>
          <w:sz w:val="13"/>
          <w:szCs w:val="13"/>
          <w:color w:val="auto"/>
        </w:rPr>
      </w:pPr>
    </w:p>
    <w:p>
      <w:pPr>
        <w:ind w:left="1040" w:right="40" w:hanging="368"/>
        <w:spacing w:after="0" w:line="259" w:lineRule="auto"/>
        <w:tabs>
          <w:tab w:leader="none" w:pos="10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Assumes a hypothetical initial investment of $100 in new ordinary shares issued on June 17, 2022. The 2022 Total Shareholder Return (“TSR”) covers the period from June 17, 2022 through December 30, 2022, reflecting the portion of fiscal 2022 after our emergence from the 2020 Bankruptcy Proceedings. TSR is not applicable for fiscal 2021 as the Company’s stock ceased being traded in connection with the 2020 bankruptcy proceedings. TSR is not applicable for fiscal 2023, 2024 and 2025 as the Company’s stock ceased being traded in connection with the 2023 bankruptcy proceedings.</w:t>
      </w:r>
    </w:p>
    <w:p>
      <w:pPr>
        <w:spacing w:after="0" w:line="29" w:lineRule="exact"/>
        <w:rPr>
          <w:rFonts w:ascii="Arial" w:cs="Arial" w:eastAsia="Arial" w:hAnsi="Arial"/>
          <w:sz w:val="13"/>
          <w:szCs w:val="13"/>
          <w:color w:val="auto"/>
        </w:rPr>
      </w:pPr>
    </w:p>
    <w:p>
      <w:pPr>
        <w:ind w:left="1040" w:hanging="368"/>
        <w:spacing w:after="0"/>
        <w:tabs>
          <w:tab w:leader="none" w:pos="10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Peer Group used for TSR comparisons reflects the NYSE Pharmaceuticals Index in the period presented.</w:t>
      </w:r>
    </w:p>
    <w:p>
      <w:pPr>
        <w:spacing w:after="0" w:line="80" w:lineRule="exact"/>
        <w:rPr>
          <w:rFonts w:ascii="Arial" w:cs="Arial" w:eastAsia="Arial" w:hAnsi="Arial"/>
          <w:sz w:val="13"/>
          <w:szCs w:val="13"/>
          <w:color w:val="auto"/>
        </w:rPr>
      </w:pPr>
    </w:p>
    <w:p>
      <w:pPr>
        <w:ind w:left="1040" w:right="60" w:hanging="368"/>
        <w:spacing w:after="0" w:line="259" w:lineRule="auto"/>
        <w:tabs>
          <w:tab w:leader="none" w:pos="10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SEC rules require us to designate a “company-selected measure” that in our assessment represents the most important financial performance measure (other than total shareholder return, stock price, or net income) used by us to link the CAP of our NEOs, for the most recently completed fiscal year, to our performance. For purposes of the table above, we selected consolidated net sales, which includes net sales from both continuing and discontinued operations.</w:t>
      </w:r>
    </w:p>
    <w:p>
      <w:pPr>
        <w:spacing w:after="0" w:line="327"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​44 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 calculate CAP for our CEOs and other NEOs, the following adjustments were made to SCT total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149225</wp:posOffset>
            </wp:positionV>
            <wp:extent cx="2540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00" cy="171450"/>
                    </a:xfrm>
                    <a:prstGeom prst="rect">
                      <a:avLst/>
                    </a:prstGeom>
                    <a:noFill/>
                  </pic:spPr>
                </pic:pic>
              </a:graphicData>
            </a:graphic>
          </wp:anchor>
        </w:drawing>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64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120" w:type="dxa"/>
            <w:vAlign w:val="bottom"/>
            <w:tcBorders>
              <w:left w:val="single" w:sz="8" w:color="8CE5CE"/>
            </w:tcBorders>
            <w:shd w:val="clear" w:color="auto" w:fill="8CE5CE"/>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8CE5CE"/>
          </w:tcPr>
          <w:p>
            <w:pPr>
              <w:spacing w:after="0"/>
              <w:rPr>
                <w:sz w:val="22"/>
                <w:szCs w:val="22"/>
                <w:color w:val="auto"/>
              </w:rPr>
            </w:pPr>
          </w:p>
        </w:tc>
        <w:tc>
          <w:tcPr>
            <w:tcW w:w="2380" w:type="dxa"/>
            <w:vAlign w:val="bottom"/>
            <w:gridSpan w:val="8"/>
            <w:shd w:val="clear" w:color="auto" w:fill="8CE5CE"/>
          </w:tcPr>
          <w:p>
            <w:pPr>
              <w:ind w:left="520"/>
              <w:spacing w:after="0"/>
              <w:rPr>
                <w:sz w:val="20"/>
                <w:szCs w:val="20"/>
                <w:color w:val="auto"/>
              </w:rPr>
            </w:pPr>
            <w:r>
              <w:rPr>
                <w:rFonts w:ascii="Arial" w:cs="Arial" w:eastAsia="Arial" w:hAnsi="Arial"/>
                <w:sz w:val="16"/>
                <w:szCs w:val="16"/>
                <w:b w:val="1"/>
                <w:bCs w:val="1"/>
                <w:color w:val="auto"/>
              </w:rPr>
              <w:t>PEO #1: Mr. Trudeau</w:t>
            </w:r>
            <w:r>
              <w:rPr>
                <w:rFonts w:ascii="Arial" w:cs="Arial" w:eastAsia="Arial" w:hAnsi="Arial"/>
                <w:sz w:val="14"/>
                <w:szCs w:val="14"/>
                <w:b w:val="1"/>
                <w:bCs w:val="1"/>
                <w:color w:val="auto"/>
              </w:rPr>
              <w:t>​</w:t>
            </w:r>
          </w:p>
        </w:tc>
        <w:tc>
          <w:tcPr>
            <w:tcW w:w="120" w:type="dxa"/>
            <w:vAlign w:val="bottom"/>
            <w:shd w:val="clear" w:color="auto" w:fill="8CE5CE"/>
          </w:tcPr>
          <w:p>
            <w:pPr>
              <w:spacing w:after="0"/>
              <w:rPr>
                <w:sz w:val="22"/>
                <w:szCs w:val="22"/>
                <w:color w:val="auto"/>
              </w:rPr>
            </w:pPr>
          </w:p>
        </w:tc>
        <w:tc>
          <w:tcPr>
            <w:tcW w:w="300" w:type="dxa"/>
            <w:vAlign w:val="bottom"/>
            <w:shd w:val="clear" w:color="auto" w:fill="8CE5CE"/>
          </w:tcPr>
          <w:p>
            <w:pPr>
              <w:spacing w:after="0"/>
              <w:rPr>
                <w:sz w:val="22"/>
                <w:szCs w:val="22"/>
                <w:color w:val="auto"/>
              </w:rPr>
            </w:pPr>
          </w:p>
        </w:tc>
        <w:tc>
          <w:tcPr>
            <w:tcW w:w="120" w:type="dxa"/>
            <w:vAlign w:val="bottom"/>
            <w:gridSpan w:val="2"/>
            <w:shd w:val="clear" w:color="auto" w:fill="8CE5CE"/>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8CE5CE"/>
          </w:tcPr>
          <w:p>
            <w:pPr>
              <w:spacing w:after="0"/>
              <w:rPr>
                <w:sz w:val="22"/>
                <w:szCs w:val="22"/>
                <w:color w:val="auto"/>
              </w:rPr>
            </w:pPr>
          </w:p>
        </w:tc>
        <w:tc>
          <w:tcPr>
            <w:tcW w:w="180" w:type="dxa"/>
            <w:vAlign w:val="bottom"/>
            <w:shd w:val="clear" w:color="auto" w:fill="8CE5CE"/>
          </w:tcPr>
          <w:p>
            <w:pPr>
              <w:spacing w:after="0"/>
              <w:rPr>
                <w:sz w:val="22"/>
                <w:szCs w:val="22"/>
                <w:color w:val="auto"/>
              </w:rPr>
            </w:pPr>
          </w:p>
        </w:tc>
        <w:tc>
          <w:tcPr>
            <w:tcW w:w="620" w:type="dxa"/>
            <w:vAlign w:val="bottom"/>
            <w:shd w:val="clear" w:color="auto" w:fill="8CE5CE"/>
          </w:tcPr>
          <w:p>
            <w:pPr>
              <w:spacing w:after="0"/>
              <w:rPr>
                <w:sz w:val="22"/>
                <w:szCs w:val="22"/>
                <w:color w:val="auto"/>
              </w:rPr>
            </w:pPr>
          </w:p>
        </w:tc>
        <w:tc>
          <w:tcPr>
            <w:tcW w:w="180" w:type="dxa"/>
            <w:vAlign w:val="bottom"/>
            <w:shd w:val="clear" w:color="auto" w:fill="8CE5CE"/>
          </w:tcPr>
          <w:p>
            <w:pPr>
              <w:spacing w:after="0"/>
              <w:rPr>
                <w:sz w:val="22"/>
                <w:szCs w:val="22"/>
                <w:color w:val="auto"/>
              </w:rPr>
            </w:pPr>
          </w:p>
        </w:tc>
        <w:tc>
          <w:tcPr>
            <w:tcW w:w="1920" w:type="dxa"/>
            <w:vAlign w:val="bottom"/>
            <w:gridSpan w:val="5"/>
            <w:shd w:val="clear" w:color="auto" w:fill="8CE5CE"/>
          </w:tcPr>
          <w:p>
            <w:pPr>
              <w:jc w:val="right"/>
              <w:ind w:right="61"/>
              <w:spacing w:after="0"/>
              <w:rPr>
                <w:sz w:val="20"/>
                <w:szCs w:val="20"/>
                <w:color w:val="auto"/>
              </w:rPr>
            </w:pPr>
            <w:r>
              <w:rPr>
                <w:rFonts w:ascii="Arial" w:cs="Arial" w:eastAsia="Arial" w:hAnsi="Arial"/>
                <w:sz w:val="16"/>
                <w:szCs w:val="16"/>
                <w:b w:val="1"/>
                <w:bCs w:val="1"/>
                <w:color w:val="auto"/>
              </w:rPr>
              <w:t>PEO #2: Mr. Olafsson</w:t>
            </w:r>
            <w:r>
              <w:rPr>
                <w:rFonts w:ascii="Arial" w:cs="Arial" w:eastAsia="Arial" w:hAnsi="Arial"/>
                <w:sz w:val="14"/>
                <w:szCs w:val="14"/>
                <w:b w:val="1"/>
                <w:bCs w:val="1"/>
                <w:color w:val="auto"/>
              </w:rPr>
              <w:t>​</w:t>
            </w:r>
          </w:p>
        </w:tc>
        <w:tc>
          <w:tcPr>
            <w:tcW w:w="220" w:type="dxa"/>
            <w:vAlign w:val="bottom"/>
            <w:shd w:val="clear" w:color="auto" w:fill="8CE5CE"/>
          </w:tcPr>
          <w:p>
            <w:pPr>
              <w:spacing w:after="0"/>
              <w:rPr>
                <w:sz w:val="22"/>
                <w:szCs w:val="22"/>
                <w:color w:val="auto"/>
              </w:rPr>
            </w:pPr>
          </w:p>
        </w:tc>
        <w:tc>
          <w:tcPr>
            <w:tcW w:w="180" w:type="dxa"/>
            <w:vAlign w:val="bottom"/>
            <w:shd w:val="clear" w:color="auto" w:fill="8CE5CE"/>
          </w:tcPr>
          <w:p>
            <w:pPr>
              <w:spacing w:after="0"/>
              <w:rPr>
                <w:sz w:val="22"/>
                <w:szCs w:val="22"/>
                <w:color w:val="auto"/>
              </w:rPr>
            </w:pPr>
          </w:p>
        </w:tc>
        <w:tc>
          <w:tcPr>
            <w:tcW w:w="660" w:type="dxa"/>
            <w:vAlign w:val="bottom"/>
            <w:shd w:val="clear" w:color="auto" w:fill="8CE5CE"/>
          </w:tcPr>
          <w:p>
            <w:pPr>
              <w:spacing w:after="0"/>
              <w:rPr>
                <w:sz w:val="22"/>
                <w:szCs w:val="22"/>
                <w:color w:val="auto"/>
              </w:rPr>
            </w:pPr>
          </w:p>
        </w:tc>
        <w:tc>
          <w:tcPr>
            <w:tcW w:w="200" w:type="dxa"/>
            <w:vAlign w:val="bottom"/>
            <w:tcBorders>
              <w:right w:val="single" w:sz="8" w:color="8CE5CE"/>
            </w:tcBorders>
            <w:shd w:val="clear" w:color="auto" w:fill="8CE5CE"/>
          </w:tcPr>
          <w:p>
            <w:pPr>
              <w:spacing w:after="0"/>
              <w:rPr>
                <w:sz w:val="22"/>
                <w:szCs w:val="22"/>
                <w:color w:val="auto"/>
              </w:rPr>
            </w:pPr>
          </w:p>
        </w:tc>
        <w:tc>
          <w:tcPr>
            <w:tcW w:w="80" w:type="dxa"/>
            <w:vAlign w:val="bottom"/>
            <w:shd w:val="clear" w:color="auto" w:fill="8CE5CE"/>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B2EEDE"/>
          </w:tcPr>
          <w:p>
            <w:pPr>
              <w:spacing w:after="0" w:line="20" w:lineRule="exact"/>
              <w:rPr>
                <w:sz w:val="1"/>
                <w:szCs w:val="1"/>
                <w:color w:val="auto"/>
              </w:rPr>
            </w:pPr>
          </w:p>
        </w:tc>
        <w:tc>
          <w:tcPr>
            <w:tcW w:w="60" w:type="dxa"/>
            <w:vAlign w:val="bottom"/>
            <w:shd w:val="clear" w:color="auto" w:fill="B2EEDE"/>
          </w:tcPr>
          <w:p>
            <w:pPr>
              <w:spacing w:after="0" w:line="20" w:lineRule="exact"/>
              <w:rPr>
                <w:sz w:val="1"/>
                <w:szCs w:val="1"/>
                <w:color w:val="auto"/>
              </w:rPr>
            </w:pPr>
          </w:p>
        </w:tc>
        <w:tc>
          <w:tcPr>
            <w:tcW w:w="120" w:type="dxa"/>
            <w:vAlign w:val="bottom"/>
            <w:tcBorders>
              <w:left w:val="single" w:sz="8" w:color="B2EEDE"/>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gridSpan w:val="6"/>
            <w:shd w:val="clear" w:color="auto" w:fill="000000"/>
          </w:tcPr>
          <w:p>
            <w:pPr>
              <w:spacing w:after="0" w:line="20" w:lineRule="exact"/>
              <w:rPr>
                <w:sz w:val="1"/>
                <w:szCs w:val="1"/>
                <w:color w:val="auto"/>
              </w:rPr>
            </w:pPr>
          </w:p>
        </w:tc>
        <w:tc>
          <w:tcPr>
            <w:tcW w:w="80" w:type="dxa"/>
            <w:vAlign w:val="bottom"/>
            <w:shd w:val="clear" w:color="auto" w:fill="8CE5CE"/>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8CE5CE"/>
            </w:tcBorders>
            <w:shd w:val="clear" w:color="auto" w:fill="000000"/>
          </w:tcPr>
          <w:p>
            <w:pPr>
              <w:spacing w:after="0" w:line="20" w:lineRule="exact"/>
              <w:rPr>
                <w:sz w:val="1"/>
                <w:szCs w:val="1"/>
                <w:color w:val="auto"/>
              </w:rPr>
            </w:pPr>
          </w:p>
        </w:tc>
        <w:tc>
          <w:tcPr>
            <w:tcW w:w="80" w:type="dxa"/>
            <w:vAlign w:val="bottom"/>
            <w:shd w:val="clear" w:color="auto" w:fill="8CE5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tcBorders>
              <w:bottom w:val="single" w:sz="8" w:color="auto"/>
            </w:tcBorders>
            <w:shd w:val="clear" w:color="auto" w:fill="B2EEDE"/>
          </w:tcPr>
          <w:p>
            <w:pPr>
              <w:ind w:left="60"/>
              <w:spacing w:after="0" w:line="23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7"/>
                <w:szCs w:val="27"/>
                <w:b w:val="1"/>
                <w:bCs w:val="1"/>
                <w:color w:val="auto"/>
                <w:vertAlign w:val="superscript"/>
              </w:rPr>
              <w:t>​</w:t>
            </w:r>
          </w:p>
        </w:tc>
        <w:tc>
          <w:tcPr>
            <w:tcW w:w="180" w:type="dxa"/>
            <w:vAlign w:val="bottom"/>
            <w:tcBorders>
              <w:bottom w:val="single" w:sz="8" w:color="auto"/>
            </w:tcBorders>
            <w:gridSpan w:val="2"/>
            <w:shd w:val="clear" w:color="auto" w:fill="B2EEDE"/>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B2EEDE"/>
          </w:tcPr>
          <w:p>
            <w:pPr>
              <w:spacing w:after="0"/>
              <w:rPr>
                <w:sz w:val="20"/>
                <w:szCs w:val="20"/>
                <w:color w:val="auto"/>
              </w:rPr>
            </w:pPr>
          </w:p>
        </w:tc>
        <w:tc>
          <w:tcPr>
            <w:tcW w:w="640" w:type="dxa"/>
            <w:vAlign w:val="bottom"/>
            <w:tcBorders>
              <w:bottom w:val="single" w:sz="8" w:color="auto"/>
            </w:tcBorders>
            <w:shd w:val="clear" w:color="auto" w:fill="B2EEDE"/>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gridSpan w:val="2"/>
            <w:shd w:val="clear" w:color="auto" w:fill="B2EEDE"/>
          </w:tcPr>
          <w:p>
            <w:pPr>
              <w:ind w:left="2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2022</w:t>
            </w:r>
          </w:p>
        </w:tc>
        <w:tc>
          <w:tcPr>
            <w:tcW w:w="180" w:type="dxa"/>
            <w:vAlign w:val="bottom"/>
            <w:tcBorders>
              <w:bottom w:val="single" w:sz="8" w:color="auto"/>
            </w:tcBorders>
            <w:shd w:val="clear" w:color="auto" w:fill="B2EEDE"/>
          </w:tcPr>
          <w:p>
            <w:pPr>
              <w:spacing w:after="0"/>
              <w:rPr>
                <w:sz w:val="20"/>
                <w:szCs w:val="20"/>
                <w:color w:val="auto"/>
              </w:rPr>
            </w:pPr>
          </w:p>
        </w:tc>
        <w:tc>
          <w:tcPr>
            <w:tcW w:w="2460" w:type="dxa"/>
            <w:vAlign w:val="bottom"/>
            <w:tcBorders>
              <w:bottom w:val="single" w:sz="8" w:color="auto"/>
            </w:tcBorders>
            <w:gridSpan w:val="11"/>
            <w:shd w:val="clear" w:color="auto" w:fill="B2EEDE"/>
          </w:tcPr>
          <w:p>
            <w:pPr>
              <w:ind w:left="2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2023 </w:t>
            </w: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2024 </w:t>
            </w: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2025 </w:t>
            </w: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2021 </w:t>
            </w: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2022</w:t>
            </w:r>
          </w:p>
        </w:tc>
        <w:tc>
          <w:tcPr>
            <w:tcW w:w="180" w:type="dxa"/>
            <w:vAlign w:val="bottom"/>
            <w:tcBorders>
              <w:bottom w:val="single" w:sz="8" w:color="auto"/>
            </w:tcBorders>
            <w:shd w:val="clear" w:color="auto" w:fill="B2EEDE"/>
          </w:tcPr>
          <w:p>
            <w:pPr>
              <w:spacing w:after="0"/>
              <w:rPr>
                <w:sz w:val="20"/>
                <w:szCs w:val="20"/>
                <w:color w:val="auto"/>
              </w:rPr>
            </w:pPr>
          </w:p>
        </w:tc>
        <w:tc>
          <w:tcPr>
            <w:tcW w:w="200" w:type="dxa"/>
            <w:vAlign w:val="bottom"/>
            <w:tcBorders>
              <w:bottom w:val="single" w:sz="8" w:color="auto"/>
            </w:tcBorders>
            <w:shd w:val="clear" w:color="auto" w:fill="B2EEDE"/>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B2EEDE"/>
          </w:tcPr>
          <w:p>
            <w:pPr>
              <w:spacing w:after="0"/>
              <w:rPr>
                <w:sz w:val="20"/>
                <w:szCs w:val="20"/>
                <w:color w:val="auto"/>
              </w:rPr>
            </w:pPr>
          </w:p>
        </w:tc>
        <w:tc>
          <w:tcPr>
            <w:tcW w:w="540" w:type="dxa"/>
            <w:vAlign w:val="bottom"/>
            <w:tcBorders>
              <w:bottom w:val="single" w:sz="8" w:color="auto"/>
            </w:tcBorders>
            <w:shd w:val="clear" w:color="auto" w:fill="B2EEDE"/>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B2EEDE"/>
          </w:tcPr>
          <w:p>
            <w:pPr>
              <w:jc w:val="right"/>
              <w:ind w:right="4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shd w:val="clear" w:color="auto" w:fill="B2EEDE"/>
          </w:tcPr>
          <w:p>
            <w:pPr>
              <w:spacing w:after="0"/>
              <w:rPr>
                <w:sz w:val="20"/>
                <w:szCs w:val="20"/>
                <w:color w:val="auto"/>
              </w:rPr>
            </w:pPr>
          </w:p>
        </w:tc>
        <w:tc>
          <w:tcPr>
            <w:tcW w:w="18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B2EEDE"/>
          </w:tcPr>
          <w:p>
            <w:pPr>
              <w:jc w:val="right"/>
              <w:ind w:right="41"/>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right w:val="single" w:sz="8" w:color="B2EEDE"/>
            </w:tcBorders>
            <w:shd w:val="clear" w:color="auto" w:fill="B2EEDE"/>
          </w:tcPr>
          <w:p>
            <w:pPr>
              <w:spacing w:after="0"/>
              <w:rPr>
                <w:sz w:val="20"/>
                <w:szCs w:val="20"/>
                <w:color w:val="auto"/>
              </w:rPr>
            </w:pPr>
          </w:p>
        </w:tc>
        <w:tc>
          <w:tcPr>
            <w:tcW w:w="8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SCT Total</w:t>
            </w:r>
          </w:p>
        </w:tc>
        <w:tc>
          <w:tcPr>
            <w:tcW w:w="7760" w:type="dxa"/>
            <w:vAlign w:val="bottom"/>
            <w:tcBorders>
              <w:bottom w:val="single" w:sz="8" w:color="auto"/>
            </w:tcBorders>
            <w:gridSpan w:val="29"/>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$8,975,983</w:t>
            </w:r>
            <w:r>
              <w:rPr>
                <w:rFonts w:ascii="Arial" w:cs="Arial" w:eastAsia="Arial" w:hAnsi="Arial"/>
                <w:sz w:val="28"/>
                <w:szCs w:val="28"/>
                <w:color w:val="auto"/>
                <w:vertAlign w:val="subscript"/>
              </w:rPr>
              <w:t>​​​​</w:t>
            </w:r>
            <w:r>
              <w:rPr>
                <w:rFonts w:ascii="Arial" w:cs="Arial" w:eastAsia="Arial" w:hAnsi="Arial"/>
                <w:sz w:val="15"/>
                <w:szCs w:val="15"/>
                <w:color w:val="auto"/>
              </w:rPr>
              <w:t>$6,626,033</w:t>
            </w:r>
            <w:r>
              <w:rPr>
                <w:rFonts w:ascii="Arial" w:cs="Arial" w:eastAsia="Arial" w:hAnsi="Arial"/>
                <w:sz w:val="28"/>
                <w:szCs w:val="28"/>
                <w:color w:val="auto"/>
                <w:vertAlign w:val="subscript"/>
              </w:rPr>
              <w:t>​​​​</w:t>
            </w:r>
            <w:r>
              <w:rPr>
                <w:rFonts w:ascii="Arial" w:cs="Arial" w:eastAsia="Arial" w:hAnsi="Arial"/>
                <w:sz w:val="15"/>
                <w:szCs w:val="15"/>
                <w:color w:val="auto"/>
              </w:rPr>
              <w:t xml:space="preserve">N/A </w:t>
            </w:r>
            <w:r>
              <w:rPr>
                <w:rFonts w:ascii="Arial" w:cs="Arial" w:eastAsia="Arial" w:hAnsi="Arial"/>
                <w:sz w:val="28"/>
                <w:szCs w:val="28"/>
                <w:color w:val="auto"/>
                <w:vertAlign w:val="subscript"/>
              </w:rPr>
              <w:t>​​​​</w:t>
            </w:r>
            <w:r>
              <w:rPr>
                <w:rFonts w:ascii="Arial" w:cs="Arial" w:eastAsia="Arial" w:hAnsi="Arial"/>
                <w:sz w:val="15"/>
                <w:szCs w:val="15"/>
                <w:color w:val="auto"/>
              </w:rPr>
              <w:t xml:space="preserve">N/A </w:t>
            </w:r>
            <w:r>
              <w:rPr>
                <w:rFonts w:ascii="Arial" w:cs="Arial" w:eastAsia="Arial" w:hAnsi="Arial"/>
                <w:sz w:val="28"/>
                <w:szCs w:val="28"/>
                <w:color w:val="auto"/>
                <w:vertAlign w:val="subscript"/>
              </w:rPr>
              <w:t>​​​​</w:t>
            </w:r>
            <w:r>
              <w:rPr>
                <w:rFonts w:ascii="Arial" w:cs="Arial" w:eastAsia="Arial" w:hAnsi="Arial"/>
                <w:sz w:val="15"/>
                <w:szCs w:val="15"/>
                <w:color w:val="auto"/>
              </w:rPr>
              <w:t xml:space="preserve">N/A </w:t>
            </w:r>
            <w:r>
              <w:rPr>
                <w:rFonts w:ascii="Arial" w:cs="Arial" w:eastAsia="Arial" w:hAnsi="Arial"/>
                <w:sz w:val="28"/>
                <w:szCs w:val="28"/>
                <w:color w:val="auto"/>
                <w:vertAlign w:val="subscript"/>
              </w:rPr>
              <w:t>​​​​</w:t>
            </w:r>
            <w:r>
              <w:rPr>
                <w:rFonts w:ascii="Arial" w:cs="Arial" w:eastAsia="Arial" w:hAnsi="Arial"/>
                <w:sz w:val="15"/>
                <w:szCs w:val="15"/>
                <w:color w:val="auto"/>
              </w:rPr>
              <w:t xml:space="preserve">N/A </w:t>
            </w:r>
            <w:r>
              <w:rPr>
                <w:rFonts w:ascii="Arial" w:cs="Arial" w:eastAsia="Arial" w:hAnsi="Arial"/>
                <w:sz w:val="28"/>
                <w:szCs w:val="28"/>
                <w:color w:val="auto"/>
                <w:vertAlign w:val="subscript"/>
              </w:rPr>
              <w:t>​​​​</w:t>
            </w:r>
            <w:r>
              <w:rPr>
                <w:rFonts w:ascii="Arial" w:cs="Arial" w:eastAsia="Arial" w:hAnsi="Arial"/>
                <w:sz w:val="15"/>
                <w:szCs w:val="15"/>
                <w:color w:val="auto"/>
              </w:rPr>
              <w:t>$ 6,431,741</w:t>
            </w:r>
            <w:r>
              <w:rPr>
                <w:rFonts w:ascii="Arial" w:cs="Arial" w:eastAsia="Arial" w:hAnsi="Arial"/>
                <w:sz w:val="28"/>
                <w:szCs w:val="28"/>
                <w:color w:val="auto"/>
                <w:vertAlign w:val="subscript"/>
              </w:rPr>
              <w:t>​​​​</w:t>
            </w:r>
            <w:r>
              <w:rPr>
                <w:rFonts w:ascii="Arial" w:cs="Arial" w:eastAsia="Arial" w:hAnsi="Arial"/>
                <w:sz w:val="15"/>
                <w:szCs w:val="15"/>
                <w:color w:val="auto"/>
              </w:rPr>
              <w:t>$ 14,089,756</w:t>
            </w:r>
            <w:r>
              <w:rPr>
                <w:rFonts w:ascii="Arial" w:cs="Arial" w:eastAsia="Arial" w:hAnsi="Arial"/>
                <w:sz w:val="28"/>
                <w:szCs w:val="28"/>
                <w:color w:val="auto"/>
                <w:vertAlign w:val="subscript"/>
              </w:rPr>
              <w:t>​​​​</w:t>
            </w:r>
            <w:r>
              <w:rPr>
                <w:rFonts w:ascii="Arial" w:cs="Arial" w:eastAsia="Arial" w:hAnsi="Arial"/>
                <w:sz w:val="15"/>
                <w:szCs w:val="15"/>
                <w:color w:val="auto"/>
              </w:rPr>
              <w:t>$ 27,251,192</w:t>
            </w:r>
            <w:r>
              <w:rPr>
                <w:rFonts w:ascii="Arial" w:cs="Arial" w:eastAsia="Arial" w:hAnsi="Arial"/>
                <w:sz w:val="28"/>
                <w:szCs w:val="28"/>
                <w:color w:val="auto"/>
                <w:vertAlign w:val="subscript"/>
              </w:rPr>
              <w:t>​​​​</w:t>
            </w:r>
            <w:r>
              <w:rPr>
                <w:rFonts w:ascii="Arial" w:cs="Arial" w:eastAsia="Arial" w:hAnsi="Arial"/>
                <w:sz w:val="15"/>
                <w:szCs w:val="15"/>
                <w:color w:val="auto"/>
              </w:rPr>
              <w:t>$47,351,608</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9"/>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Deduction for</w:t>
            </w:r>
          </w:p>
        </w:tc>
        <w:tc>
          <w:tcPr>
            <w:tcW w:w="60" w:type="dxa"/>
            <w:vAlign w:val="bottom"/>
            <w:shd w:val="clear" w:color="auto" w:fill="E5E5E5"/>
          </w:tcPr>
          <w:p>
            <w:pPr>
              <w:spacing w:after="0"/>
              <w:rPr>
                <w:sz w:val="18"/>
                <w:szCs w:val="18"/>
                <w:color w:val="auto"/>
              </w:rPr>
            </w:pPr>
          </w:p>
        </w:tc>
        <w:tc>
          <w:tcPr>
            <w:tcW w:w="120" w:type="dxa"/>
            <w:vAlign w:val="bottom"/>
            <w:tcBorders>
              <w:left w:val="single" w:sz="8" w:color="E5E5E5"/>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tcBorders>
              <w:right w:val="single" w:sz="8" w:color="E5E5E5"/>
            </w:tcBorders>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amounts reported in</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0" w:type="dxa"/>
            <w:vAlign w:val="bottom"/>
            <w:tcBorders>
              <w:right w:val="single" w:sz="8" w:color="E5E5E5"/>
            </w:tcBorders>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the “Stock Awards”</w:t>
            </w:r>
          </w:p>
        </w:tc>
        <w:tc>
          <w:tcPr>
            <w:tcW w:w="60" w:type="dxa"/>
            <w:vAlign w:val="bottom"/>
            <w:shd w:val="clear" w:color="auto" w:fill="E5E5E5"/>
          </w:tcPr>
          <w:p>
            <w:pPr>
              <w:spacing w:after="0"/>
              <w:rPr>
                <w:sz w:val="16"/>
                <w:szCs w:val="16"/>
                <w:color w:val="auto"/>
              </w:rPr>
            </w:pPr>
          </w:p>
        </w:tc>
        <w:tc>
          <w:tcPr>
            <w:tcW w:w="120" w:type="dxa"/>
            <w:vAlign w:val="bottom"/>
            <w:tcBorders>
              <w:left w:val="single" w:sz="8" w:color="E5E5E5"/>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0" w:type="dxa"/>
            <w:vAlign w:val="bottom"/>
            <w:tcBorders>
              <w:right w:val="single" w:sz="8" w:color="E5E5E5"/>
            </w:tcBorders>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column in the SCT</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0" w:type="dxa"/>
            <w:vAlign w:val="bottom"/>
            <w:tcBorders>
              <w:right w:val="single" w:sz="8" w:color="E5E5E5"/>
            </w:tcBorders>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for applicable fiscal</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E5E5E5"/>
          </w:tcPr>
          <w:p>
            <w:pPr>
              <w:spacing w:after="0"/>
              <w:rPr>
                <w:sz w:val="17"/>
                <w:szCs w:val="17"/>
                <w:color w:val="auto"/>
              </w:rPr>
            </w:pPr>
          </w:p>
        </w:tc>
        <w:tc>
          <w:tcPr>
            <w:tcW w:w="580" w:type="dxa"/>
            <w:vAlign w:val="bottom"/>
            <w:vMerge w:val="restart"/>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E5E5E5"/>
          </w:tcPr>
          <w:p>
            <w:pPr>
              <w:ind w:left="80"/>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2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2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80" w:type="dxa"/>
            <w:vAlign w:val="bottom"/>
            <w:shd w:val="clear" w:color="auto" w:fill="E5E5E5"/>
          </w:tcPr>
          <w:p>
            <w:pPr>
              <w:spacing w:after="0"/>
              <w:rPr>
                <w:sz w:val="17"/>
                <w:szCs w:val="17"/>
                <w:color w:val="auto"/>
              </w:rPr>
            </w:pPr>
          </w:p>
        </w:tc>
        <w:tc>
          <w:tcPr>
            <w:tcW w:w="1000" w:type="dxa"/>
            <w:vAlign w:val="bottom"/>
            <w:gridSpan w:val="3"/>
            <w:vMerge w:val="restart"/>
            <w:shd w:val="clear" w:color="auto" w:fill="E5E5E5"/>
          </w:tcPr>
          <w:p>
            <w:pPr>
              <w:ind w:left="20"/>
              <w:spacing w:after="0"/>
              <w:rPr>
                <w:sz w:val="20"/>
                <w:szCs w:val="20"/>
                <w:color w:val="auto"/>
              </w:rPr>
            </w:pPr>
            <w:r>
              <w:rPr>
                <w:rFonts w:ascii="Arial" w:cs="Arial" w:eastAsia="Arial" w:hAnsi="Arial"/>
                <w:sz w:val="16"/>
                <w:szCs w:val="16"/>
                <w:color w:val="auto"/>
              </w:rPr>
              <w:t>​(4,580,263)</w:t>
            </w:r>
          </w:p>
        </w:tc>
        <w:tc>
          <w:tcPr>
            <w:tcW w:w="1040" w:type="dxa"/>
            <w:vAlign w:val="bottom"/>
            <w:gridSpan w:val="3"/>
            <w:vMerge w:val="restart"/>
            <w:shd w:val="clear" w:color="auto" w:fill="E5E5E5"/>
          </w:tcPr>
          <w:p>
            <w:pPr>
              <w:jc w:val="right"/>
              <w:ind w:right="52"/>
              <w:spacing w:after="0"/>
              <w:rPr>
                <w:sz w:val="20"/>
                <w:szCs w:val="20"/>
                <w:color w:val="auto"/>
              </w:rPr>
            </w:pPr>
            <w:r>
              <w:rPr>
                <w:rFonts w:ascii="Arial" w:cs="Arial" w:eastAsia="Arial" w:hAnsi="Arial"/>
                <w:sz w:val="16"/>
                <w:szCs w:val="16"/>
                <w:color w:val="auto"/>
                <w:w w:val="99"/>
              </w:rPr>
              <w:t>​(10,000,012)</w:t>
            </w:r>
          </w:p>
        </w:tc>
        <w:tc>
          <w:tcPr>
            <w:tcW w:w="1080" w:type="dxa"/>
            <w:vAlign w:val="bottom"/>
            <w:gridSpan w:val="3"/>
            <w:vMerge w:val="restart"/>
            <w:shd w:val="clear" w:color="auto" w:fill="E5E5E5"/>
          </w:tcPr>
          <w:p>
            <w:pPr>
              <w:jc w:val="right"/>
              <w:ind w:right="70"/>
              <w:spacing w:after="0"/>
              <w:rPr>
                <w:sz w:val="20"/>
                <w:szCs w:val="20"/>
                <w:color w:val="auto"/>
              </w:rPr>
            </w:pPr>
            <w:r>
              <w:rPr>
                <w:rFonts w:ascii="Arial" w:cs="Arial" w:eastAsia="Arial" w:hAnsi="Arial"/>
                <w:sz w:val="16"/>
                <w:szCs w:val="16"/>
                <w:color w:val="auto"/>
              </w:rPr>
              <w:t>​(11,864,619)</w:t>
            </w:r>
          </w:p>
        </w:tc>
        <w:tc>
          <w:tcPr>
            <w:tcW w:w="940" w:type="dxa"/>
            <w:vAlign w:val="bottom"/>
            <w:gridSpan w:val="3"/>
            <w:vMerge w:val="restart"/>
            <w:shd w:val="clear" w:color="auto" w:fill="E5E5E5"/>
          </w:tcPr>
          <w:p>
            <w:pPr>
              <w:ind w:left="40"/>
              <w:spacing w:after="0"/>
              <w:rPr>
                <w:sz w:val="20"/>
                <w:szCs w:val="20"/>
                <w:color w:val="auto"/>
              </w:rPr>
            </w:pPr>
            <w:r>
              <w:rPr>
                <w:rFonts w:ascii="Arial" w:cs="Arial" w:eastAsia="Arial" w:hAnsi="Arial"/>
                <w:sz w:val="16"/>
                <w:szCs w:val="16"/>
                <w:color w:val="auto"/>
              </w:rPr>
              <w:t>​(5,999,962)</w:t>
            </w:r>
          </w:p>
        </w:tc>
        <w:tc>
          <w:tcPr>
            <w:tcW w:w="0" w:type="dxa"/>
            <w:vAlign w:val="bottom"/>
          </w:tcPr>
          <w:p>
            <w:pPr>
              <w:spacing w:after="0"/>
              <w:rPr>
                <w:sz w:val="1"/>
                <w:szCs w:val="1"/>
                <w:color w:val="auto"/>
              </w:rPr>
            </w:pPr>
          </w:p>
        </w:tc>
      </w:tr>
      <w:tr>
        <w:trPr>
          <w:trHeight w:val="149"/>
        </w:trPr>
        <w:tc>
          <w:tcPr>
            <w:tcW w:w="164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​year</w:t>
            </w:r>
          </w:p>
        </w:tc>
        <w:tc>
          <w:tcPr>
            <w:tcW w:w="18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w:t>
            </w:r>
          </w:p>
        </w:tc>
        <w:tc>
          <w:tcPr>
            <w:tcW w:w="120" w:type="dxa"/>
            <w:vAlign w:val="bottom"/>
            <w:vMerge w:val="continue"/>
            <w:shd w:val="clear" w:color="auto" w:fill="E5E5E5"/>
          </w:tcPr>
          <w:p>
            <w:pPr>
              <w:spacing w:after="0"/>
              <w:rPr>
                <w:sz w:val="12"/>
                <w:szCs w:val="12"/>
                <w:color w:val="auto"/>
              </w:rPr>
            </w:pPr>
          </w:p>
        </w:tc>
        <w:tc>
          <w:tcPr>
            <w:tcW w:w="640" w:type="dxa"/>
            <w:vAlign w:val="bottom"/>
            <w:vMerge w:val="continue"/>
            <w:shd w:val="clear" w:color="auto" w:fill="E5E5E5"/>
          </w:tcPr>
          <w:p>
            <w:pPr>
              <w:spacing w:after="0"/>
              <w:rPr>
                <w:sz w:val="12"/>
                <w:szCs w:val="12"/>
                <w:color w:val="auto"/>
              </w:rPr>
            </w:pPr>
          </w:p>
        </w:tc>
        <w:tc>
          <w:tcPr>
            <w:tcW w:w="1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580" w:type="dxa"/>
            <w:vAlign w:val="bottom"/>
            <w:vMerge w:val="continue"/>
            <w:shd w:val="clear" w:color="auto" w:fill="E5E5E5"/>
          </w:tcPr>
          <w:p>
            <w:pPr>
              <w:spacing w:after="0"/>
              <w:rPr>
                <w:sz w:val="12"/>
                <w:szCs w:val="12"/>
                <w:color w:val="auto"/>
              </w:rPr>
            </w:pPr>
          </w:p>
        </w:tc>
        <w:tc>
          <w:tcPr>
            <w:tcW w:w="180" w:type="dxa"/>
            <w:vAlign w:val="bottom"/>
            <w:vMerge w:val="continue"/>
            <w:shd w:val="clear" w:color="auto" w:fill="E5E5E5"/>
          </w:tcPr>
          <w:p>
            <w:pPr>
              <w:spacing w:after="0"/>
              <w:rPr>
                <w:sz w:val="12"/>
                <w:szCs w:val="12"/>
                <w:color w:val="auto"/>
              </w:rPr>
            </w:pP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8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000" w:type="dxa"/>
            <w:vAlign w:val="bottom"/>
            <w:gridSpan w:val="3"/>
            <w:vMerge w:val="continue"/>
            <w:shd w:val="clear" w:color="auto" w:fill="E5E5E5"/>
          </w:tcPr>
          <w:p>
            <w:pPr>
              <w:spacing w:after="0"/>
              <w:rPr>
                <w:sz w:val="12"/>
                <w:szCs w:val="12"/>
                <w:color w:val="auto"/>
              </w:rPr>
            </w:pPr>
          </w:p>
        </w:tc>
        <w:tc>
          <w:tcPr>
            <w:tcW w:w="1040" w:type="dxa"/>
            <w:vAlign w:val="bottom"/>
            <w:gridSpan w:val="3"/>
            <w:vMerge w:val="continue"/>
            <w:shd w:val="clear" w:color="auto" w:fill="E5E5E5"/>
          </w:tcPr>
          <w:p>
            <w:pPr>
              <w:spacing w:after="0"/>
              <w:rPr>
                <w:sz w:val="12"/>
                <w:szCs w:val="12"/>
                <w:color w:val="auto"/>
              </w:rPr>
            </w:pPr>
          </w:p>
        </w:tc>
        <w:tc>
          <w:tcPr>
            <w:tcW w:w="1080" w:type="dxa"/>
            <w:vAlign w:val="bottom"/>
            <w:gridSpan w:val="3"/>
            <w:vMerge w:val="continue"/>
            <w:shd w:val="clear" w:color="auto" w:fill="E5E5E5"/>
          </w:tcPr>
          <w:p>
            <w:pPr>
              <w:spacing w:after="0"/>
              <w:rPr>
                <w:sz w:val="12"/>
                <w:szCs w:val="12"/>
                <w:color w:val="auto"/>
              </w:rPr>
            </w:pPr>
          </w:p>
        </w:tc>
        <w:tc>
          <w:tcPr>
            <w:tcW w:w="940" w:type="dxa"/>
            <w:vAlign w:val="bottom"/>
            <w:gridSpan w:val="3"/>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40" w:type="dxa"/>
            <w:vAlign w:val="bottom"/>
            <w:tcBorders>
              <w:bottom w:val="single" w:sz="8" w:color="auto"/>
            </w:tcBorders>
            <w:vMerge w:val="continue"/>
            <w:shd w:val="clear" w:color="auto" w:fill="E5E5E5"/>
          </w:tcPr>
          <w:p>
            <w:pPr>
              <w:spacing w:after="0"/>
              <w:rPr>
                <w:sz w:val="7"/>
                <w:szCs w:val="7"/>
                <w:color w:val="auto"/>
              </w:rPr>
            </w:pPr>
          </w:p>
        </w:tc>
        <w:tc>
          <w:tcPr>
            <w:tcW w:w="180" w:type="dxa"/>
            <w:vAlign w:val="bottom"/>
            <w:tcBorders>
              <w:bottom w:val="single" w:sz="8" w:color="auto"/>
            </w:tcBorders>
            <w:gridSpan w:val="2"/>
            <w:vMerge w:val="continue"/>
            <w:shd w:val="clear" w:color="auto" w:fill="E5E5E5"/>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640" w:type="dxa"/>
            <w:vAlign w:val="bottom"/>
            <w:tcBorders>
              <w:bottom w:val="single" w:sz="8" w:color="auto"/>
            </w:tcBorders>
            <w:shd w:val="clear" w:color="auto" w:fill="E5E5E5"/>
          </w:tcPr>
          <w:p>
            <w:pPr>
              <w:spacing w:after="0"/>
              <w:rPr>
                <w:sz w:val="7"/>
                <w:szCs w:val="7"/>
                <w:color w:val="auto"/>
              </w:rPr>
            </w:pPr>
          </w:p>
        </w:tc>
        <w:tc>
          <w:tcPr>
            <w:tcW w:w="160" w:type="dxa"/>
            <w:vAlign w:val="bottom"/>
            <w:tcBorders>
              <w:bottom w:val="single" w:sz="8" w:color="auto"/>
            </w:tcBorders>
            <w:vMerge w:val="continue"/>
            <w:shd w:val="clear" w:color="auto" w:fill="E5E5E5"/>
          </w:tcPr>
          <w:p>
            <w:pPr>
              <w:spacing w:after="0"/>
              <w:rPr>
                <w:sz w:val="7"/>
                <w:szCs w:val="7"/>
                <w:color w:val="auto"/>
              </w:rPr>
            </w:pPr>
          </w:p>
        </w:tc>
        <w:tc>
          <w:tcPr>
            <w:tcW w:w="58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10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gridSpan w:val="2"/>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vMerge w:val="continue"/>
            <w:shd w:val="clear" w:color="auto" w:fill="E5E5E5"/>
          </w:tcPr>
          <w:p>
            <w:pPr>
              <w:spacing w:after="0"/>
              <w:rPr>
                <w:sz w:val="7"/>
                <w:szCs w:val="7"/>
                <w:color w:val="auto"/>
              </w:rPr>
            </w:pPr>
          </w:p>
        </w:tc>
        <w:tc>
          <w:tcPr>
            <w:tcW w:w="6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shd w:val="clear" w:color="auto" w:fill="E5E5E5"/>
          </w:tcPr>
          <w:p>
            <w:pPr>
              <w:spacing w:after="0" w:line="81"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E5E5E5"/>
          </w:tcPr>
          <w:p>
            <w:pPr>
              <w:spacing w:after="0"/>
              <w:rPr>
                <w:sz w:val="7"/>
                <w:szCs w:val="7"/>
                <w:color w:val="auto"/>
              </w:rPr>
            </w:pPr>
          </w:p>
        </w:tc>
        <w:tc>
          <w:tcPr>
            <w:tcW w:w="540" w:type="dxa"/>
            <w:vAlign w:val="bottom"/>
            <w:tcBorders>
              <w:bottom w:val="single" w:sz="8" w:color="auto"/>
            </w:tcBorders>
            <w:shd w:val="clear" w:color="auto" w:fill="E5E5E5"/>
          </w:tcPr>
          <w:p>
            <w:pPr>
              <w:spacing w:after="0"/>
              <w:rPr>
                <w:sz w:val="7"/>
                <w:szCs w:val="7"/>
                <w:color w:val="auto"/>
              </w:rPr>
            </w:pPr>
          </w:p>
        </w:tc>
        <w:tc>
          <w:tcPr>
            <w:tcW w:w="3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shd w:val="clear" w:color="auto" w:fill="E5E5E5"/>
          </w:tcPr>
          <w:p>
            <w:pPr>
              <w:spacing w:after="0"/>
              <w:rPr>
                <w:sz w:val="7"/>
                <w:szCs w:val="7"/>
                <w:color w:val="auto"/>
              </w:rPr>
            </w:pPr>
          </w:p>
        </w:tc>
        <w:tc>
          <w:tcPr>
            <w:tcW w:w="2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jc w:val="center"/>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right w:val="single" w:sz="8" w:color="E5E5E5"/>
            </w:tcBorders>
            <w:shd w:val="clear" w:color="auto" w:fill="E5E5E5"/>
          </w:tcPr>
          <w:p>
            <w:pPr>
              <w:spacing w:after="0"/>
              <w:rPr>
                <w:sz w:val="7"/>
                <w:szCs w:val="7"/>
                <w:color w:val="auto"/>
              </w:rPr>
            </w:pPr>
          </w:p>
        </w:tc>
        <w:tc>
          <w:tcPr>
            <w:tcW w:w="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9"/>
        </w:trPr>
        <w:tc>
          <w:tcPr>
            <w:tcW w:w="1640" w:type="dxa"/>
            <w:vAlign w:val="bottom"/>
          </w:tcPr>
          <w:p>
            <w:pPr>
              <w:ind w:left="120"/>
              <w:spacing w:after="0"/>
              <w:rPr>
                <w:sz w:val="20"/>
                <w:szCs w:val="20"/>
                <w:color w:val="auto"/>
              </w:rPr>
            </w:pPr>
            <w:r>
              <w:rPr>
                <w:rFonts w:ascii="Arial" w:cs="Arial" w:eastAsia="Arial" w:hAnsi="Arial"/>
                <w:sz w:val="16"/>
                <w:szCs w:val="16"/>
                <w:color w:val="auto"/>
              </w:rPr>
              <w:t>Deduction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amounts reported in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120"/>
              <w:spacing w:after="0"/>
              <w:rPr>
                <w:sz w:val="20"/>
                <w:szCs w:val="20"/>
                <w:color w:val="auto"/>
              </w:rPr>
            </w:pPr>
            <w:r>
              <w:rPr>
                <w:rFonts w:ascii="Arial" w:cs="Arial" w:eastAsia="Arial" w:hAnsi="Arial"/>
                <w:sz w:val="16"/>
                <w:szCs w:val="16"/>
                <w:color w:val="auto"/>
              </w:rPr>
              <w:t>the “Option Awards”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column in the SCT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for applicable fiscal</w:t>
            </w:r>
          </w:p>
        </w:tc>
        <w:tc>
          <w:tcPr>
            <w:tcW w:w="300" w:type="dxa"/>
            <w:vAlign w:val="bottom"/>
            <w:gridSpan w:val="3"/>
            <w:vMerge w:val="restart"/>
          </w:tcPr>
          <w:p>
            <w:pPr>
              <w:ind w:left="40"/>
              <w:spacing w:after="0"/>
              <w:rPr>
                <w:sz w:val="20"/>
                <w:szCs w:val="20"/>
                <w:color w:val="auto"/>
              </w:rPr>
            </w:pPr>
            <w:r>
              <w:rPr>
                <w:rFonts w:ascii="Arial" w:cs="Arial" w:eastAsia="Arial" w:hAnsi="Arial"/>
                <w:sz w:val="16"/>
                <w:szCs w:val="16"/>
                <w:color w:val="auto"/>
              </w:rPr>
              <w:t>​​​ ​</w:t>
            </w:r>
          </w:p>
        </w:tc>
        <w:tc>
          <w:tcPr>
            <w:tcW w:w="1380" w:type="dxa"/>
            <w:vAlign w:val="bottom"/>
            <w:gridSpan w:val="3"/>
            <w:vMerge w:val="restart"/>
          </w:tcPr>
          <w:p>
            <w:pPr>
              <w:jc w:val="right"/>
              <w:ind w:right="419"/>
              <w:spacing w:after="0"/>
              <w:rPr>
                <w:sz w:val="20"/>
                <w:szCs w:val="20"/>
                <w:color w:val="auto"/>
              </w:rPr>
            </w:pPr>
            <w:r>
              <w:rPr>
                <w:rFonts w:ascii="Arial" w:cs="Arial" w:eastAsia="Arial" w:hAnsi="Arial"/>
                <w:sz w:val="16"/>
                <w:szCs w:val="16"/>
                <w:color w:val="auto"/>
              </w:rPr>
              <w:t>0​​​​ ​</w:t>
            </w:r>
          </w:p>
        </w:tc>
        <w:tc>
          <w:tcPr>
            <w:tcW w:w="2640" w:type="dxa"/>
            <w:vAlign w:val="bottom"/>
            <w:gridSpan w:val="12"/>
            <w:vMerge w:val="restart"/>
          </w:tcPr>
          <w:p>
            <w:pPr>
              <w:ind w:lef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 ​</w:t>
            </w:r>
          </w:p>
        </w:tc>
        <w:tc>
          <w:tcPr>
            <w:tcW w:w="500" w:type="dxa"/>
            <w:vAlign w:val="bottom"/>
            <w:gridSpan w:val="3"/>
            <w:vMerge w:val="restart"/>
          </w:tcPr>
          <w:p>
            <w:pPr>
              <w:ind w:left="100"/>
              <w:spacing w:after="0"/>
              <w:rPr>
                <w:sz w:val="20"/>
                <w:szCs w:val="20"/>
                <w:color w:val="auto"/>
              </w:rPr>
            </w:pPr>
            <w:r>
              <w:rPr>
                <w:rFonts w:ascii="Arial" w:cs="Arial" w:eastAsia="Arial" w:hAnsi="Arial"/>
                <w:sz w:val="16"/>
                <w:szCs w:val="16"/>
                <w:color w:val="auto"/>
              </w:rPr>
              <w:t>0​​​​ ​</w:t>
            </w:r>
          </w:p>
        </w:tc>
        <w:tc>
          <w:tcPr>
            <w:tcW w:w="540" w:type="dxa"/>
            <w:vAlign w:val="bottom"/>
          </w:tcPr>
          <w:p>
            <w:pPr>
              <w:spacing w:after="0"/>
              <w:rPr>
                <w:sz w:val="17"/>
                <w:szCs w:val="17"/>
                <w:color w:val="auto"/>
              </w:rPr>
            </w:pPr>
          </w:p>
        </w:tc>
        <w:tc>
          <w:tcPr>
            <w:tcW w:w="1060" w:type="dxa"/>
            <w:vAlign w:val="bottom"/>
            <w:gridSpan w:val="2"/>
            <w:vMerge w:val="restart"/>
          </w:tcPr>
          <w:p>
            <w:pPr>
              <w:jc w:val="right"/>
              <w:ind w:right="521"/>
              <w:spacing w:after="0"/>
              <w:rPr>
                <w:sz w:val="20"/>
                <w:szCs w:val="20"/>
                <w:color w:val="auto"/>
              </w:rPr>
            </w:pPr>
            <w:r>
              <w:rPr>
                <w:rFonts w:ascii="Arial" w:cs="Arial" w:eastAsia="Arial" w:hAnsi="Arial"/>
                <w:sz w:val="16"/>
                <w:szCs w:val="16"/>
                <w:color w:val="auto"/>
              </w:rPr>
              <w:t>0​​​​ ​</w:t>
            </w:r>
          </w:p>
        </w:tc>
        <w:tc>
          <w:tcPr>
            <w:tcW w:w="1060" w:type="dxa"/>
            <w:vAlign w:val="bottom"/>
            <w:gridSpan w:val="3"/>
            <w:vMerge w:val="restart"/>
          </w:tcPr>
          <w:p>
            <w:pPr>
              <w:jc w:val="center"/>
              <w:ind w:right="381"/>
              <w:spacing w:after="0"/>
              <w:rPr>
                <w:sz w:val="20"/>
                <w:szCs w:val="20"/>
                <w:color w:val="auto"/>
              </w:rPr>
            </w:pPr>
            <w:r>
              <w:rPr>
                <w:rFonts w:ascii="Arial" w:cs="Arial" w:eastAsia="Arial" w:hAnsi="Arial"/>
                <w:sz w:val="16"/>
                <w:szCs w:val="16"/>
                <w:color w:val="auto"/>
              </w:rPr>
              <w:t>0​​​​ ​</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​year</w:t>
            </w:r>
          </w:p>
        </w:tc>
        <w:tc>
          <w:tcPr>
            <w:tcW w:w="300" w:type="dxa"/>
            <w:vAlign w:val="bottom"/>
            <w:tcBorders>
              <w:bottom w:val="single" w:sz="8" w:color="auto"/>
            </w:tcBorders>
            <w:gridSpan w:val="3"/>
            <w:vMerge w:val="continue"/>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2640" w:type="dxa"/>
            <w:vAlign w:val="bottom"/>
            <w:tcBorders>
              <w:bottom w:val="single" w:sz="8" w:color="auto"/>
            </w:tcBorders>
            <w:gridSpan w:val="12"/>
            <w:vMerge w:val="continue"/>
          </w:tcPr>
          <w:p>
            <w:pPr>
              <w:spacing w:after="0"/>
              <w:rPr>
                <w:sz w:val="19"/>
                <w:szCs w:val="19"/>
                <w:color w:val="auto"/>
              </w:rPr>
            </w:pPr>
          </w:p>
        </w:tc>
        <w:tc>
          <w:tcPr>
            <w:tcW w:w="500" w:type="dxa"/>
            <w:vAlign w:val="bottom"/>
            <w:tcBorders>
              <w:bottom w:val="single" w:sz="8" w:color="auto"/>
            </w:tcBorders>
            <w:gridSpan w:val="3"/>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106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Year End Fair Value</w:t>
            </w:r>
          </w:p>
        </w:tc>
        <w:tc>
          <w:tcPr>
            <w:tcW w:w="60" w:type="dxa"/>
            <w:vAlign w:val="bottom"/>
            <w:shd w:val="clear" w:color="auto" w:fill="E5E5E5"/>
          </w:tcPr>
          <w:p>
            <w:pPr>
              <w:spacing w:after="0"/>
              <w:rPr>
                <w:sz w:val="18"/>
                <w:szCs w:val="18"/>
                <w:color w:val="auto"/>
              </w:rPr>
            </w:pPr>
          </w:p>
        </w:tc>
        <w:tc>
          <w:tcPr>
            <w:tcW w:w="120" w:type="dxa"/>
            <w:vAlign w:val="bottom"/>
            <w:tcBorders>
              <w:left w:val="single" w:sz="8" w:color="E5E5E5"/>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tcBorders>
              <w:right w:val="single" w:sz="8" w:color="E5E5E5"/>
            </w:tcBorders>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of Current Year</w:t>
            </w:r>
          </w:p>
        </w:tc>
        <w:tc>
          <w:tcPr>
            <w:tcW w:w="300" w:type="dxa"/>
            <w:vAlign w:val="bottom"/>
            <w:gridSpan w:val="3"/>
            <w:vMerge w:val="restart"/>
            <w:shd w:val="clear" w:color="auto" w:fill="E5E5E5"/>
          </w:tcPr>
          <w:p>
            <w:pPr>
              <w:ind w:left="40"/>
              <w:spacing w:after="0"/>
              <w:rPr>
                <w:sz w:val="20"/>
                <w:szCs w:val="20"/>
                <w:color w:val="auto"/>
              </w:rPr>
            </w:pPr>
            <w:r>
              <w:rPr>
                <w:rFonts w:ascii="Arial" w:cs="Arial" w:eastAsia="Arial" w:hAnsi="Arial"/>
                <w:sz w:val="16"/>
                <w:szCs w:val="16"/>
                <w:color w:val="auto"/>
              </w:rPr>
              <w:t>​​​ ​</w:t>
            </w:r>
          </w:p>
        </w:tc>
        <w:tc>
          <w:tcPr>
            <w:tcW w:w="1380" w:type="dxa"/>
            <w:vAlign w:val="bottom"/>
            <w:gridSpan w:val="3"/>
            <w:vMerge w:val="restart"/>
            <w:shd w:val="clear" w:color="auto" w:fill="E5E5E5"/>
          </w:tcPr>
          <w:p>
            <w:pPr>
              <w:jc w:val="right"/>
              <w:ind w:right="419"/>
              <w:spacing w:after="0"/>
              <w:rPr>
                <w:sz w:val="20"/>
                <w:szCs w:val="20"/>
                <w:color w:val="auto"/>
              </w:rPr>
            </w:pPr>
            <w:r>
              <w:rPr>
                <w:rFonts w:ascii="Arial" w:cs="Arial" w:eastAsia="Arial" w:hAnsi="Arial"/>
                <w:sz w:val="16"/>
                <w:szCs w:val="16"/>
                <w:color w:val="auto"/>
              </w:rPr>
              <w:t>0​​​​ ​</w:t>
            </w:r>
          </w:p>
        </w:tc>
        <w:tc>
          <w:tcPr>
            <w:tcW w:w="3140" w:type="dxa"/>
            <w:vAlign w:val="bottom"/>
            <w:gridSpan w:val="15"/>
            <w:vMerge w:val="restart"/>
            <w:shd w:val="clear" w:color="auto" w:fill="E5E5E5"/>
          </w:tcPr>
          <w:p>
            <w:pPr>
              <w:ind w:lef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 ​3,663,446​​​​ ​</w:t>
            </w:r>
          </w:p>
        </w:tc>
        <w:tc>
          <w:tcPr>
            <w:tcW w:w="540" w:type="dxa"/>
            <w:vAlign w:val="bottom"/>
            <w:shd w:val="clear" w:color="auto" w:fill="E5E5E5"/>
          </w:tcPr>
          <w:p>
            <w:pPr>
              <w:spacing w:after="0"/>
              <w:rPr>
                <w:sz w:val="17"/>
                <w:szCs w:val="17"/>
                <w:color w:val="auto"/>
              </w:rPr>
            </w:pPr>
          </w:p>
        </w:tc>
        <w:tc>
          <w:tcPr>
            <w:tcW w:w="2400" w:type="dxa"/>
            <w:vAlign w:val="bottom"/>
            <w:gridSpan w:val="7"/>
            <w:vMerge w:val="restart"/>
            <w:shd w:val="clear" w:color="auto" w:fill="E5E5E5"/>
          </w:tcPr>
          <w:p>
            <w:pPr>
              <w:jc w:val="right"/>
              <w:spacing w:after="0"/>
              <w:rPr>
                <w:sz w:val="20"/>
                <w:szCs w:val="20"/>
                <w:color w:val="auto"/>
              </w:rPr>
            </w:pPr>
            <w:r>
              <w:rPr>
                <w:rFonts w:ascii="Arial" w:cs="Arial" w:eastAsia="Arial" w:hAnsi="Arial"/>
                <w:sz w:val="16"/>
                <w:szCs w:val="16"/>
                <w:color w:val="auto"/>
              </w:rPr>
              <w:t>0​​​​ ​ 8,955,743​​​​ ​ 5,882,963​​</w:t>
            </w:r>
          </w:p>
        </w:tc>
        <w:tc>
          <w:tcPr>
            <w:tcW w:w="0" w:type="dxa"/>
            <w:vAlign w:val="bottom"/>
          </w:tcPr>
          <w:p>
            <w:pPr>
              <w:spacing w:after="0"/>
              <w:rPr>
                <w:sz w:val="1"/>
                <w:szCs w:val="1"/>
                <w:color w:val="auto"/>
              </w:rPr>
            </w:pPr>
          </w:p>
        </w:tc>
      </w:tr>
      <w:tr>
        <w:trPr>
          <w:trHeight w:val="229"/>
        </w:trPr>
        <w:tc>
          <w:tcPr>
            <w:tcW w:w="16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​Equity Awards</w:t>
            </w:r>
          </w:p>
        </w:tc>
        <w:tc>
          <w:tcPr>
            <w:tcW w:w="300" w:type="dxa"/>
            <w:vAlign w:val="bottom"/>
            <w:tcBorders>
              <w:bottom w:val="single" w:sz="8" w:color="auto"/>
            </w:tcBorders>
            <w:gridSpan w:val="3"/>
            <w:vMerge w:val="continue"/>
            <w:shd w:val="clear" w:color="auto" w:fill="E5E5E5"/>
          </w:tcPr>
          <w:p>
            <w:pPr>
              <w:spacing w:after="0"/>
              <w:rPr>
                <w:sz w:val="19"/>
                <w:szCs w:val="19"/>
                <w:color w:val="auto"/>
              </w:rPr>
            </w:pPr>
          </w:p>
        </w:tc>
        <w:tc>
          <w:tcPr>
            <w:tcW w:w="1380" w:type="dxa"/>
            <w:vAlign w:val="bottom"/>
            <w:tcBorders>
              <w:bottom w:val="single" w:sz="8" w:color="auto"/>
            </w:tcBorders>
            <w:gridSpan w:val="3"/>
            <w:vMerge w:val="continue"/>
            <w:shd w:val="clear" w:color="auto" w:fill="E5E5E5"/>
          </w:tcPr>
          <w:p>
            <w:pPr>
              <w:spacing w:after="0"/>
              <w:rPr>
                <w:sz w:val="19"/>
                <w:szCs w:val="19"/>
                <w:color w:val="auto"/>
              </w:rPr>
            </w:pPr>
          </w:p>
        </w:tc>
        <w:tc>
          <w:tcPr>
            <w:tcW w:w="3140" w:type="dxa"/>
            <w:vAlign w:val="bottom"/>
            <w:tcBorders>
              <w:bottom w:val="single" w:sz="8" w:color="auto"/>
            </w:tcBorders>
            <w:gridSpan w:val="15"/>
            <w:vMerge w:val="continue"/>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spacing w:after="0"/>
              <w:rPr>
                <w:sz w:val="19"/>
                <w:szCs w:val="19"/>
                <w:color w:val="auto"/>
              </w:rPr>
            </w:pPr>
          </w:p>
        </w:tc>
        <w:tc>
          <w:tcPr>
            <w:tcW w:w="2400" w:type="dxa"/>
            <w:vAlign w:val="bottom"/>
            <w:tcBorders>
              <w:bottom w:val="single" w:sz="8" w:color="auto"/>
            </w:tcBorders>
            <w:gridSpan w:val="7"/>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tcPr>
          <w:p>
            <w:pPr>
              <w:ind w:left="120"/>
              <w:spacing w:after="0"/>
              <w:rPr>
                <w:sz w:val="20"/>
                <w:szCs w:val="20"/>
                <w:color w:val="auto"/>
              </w:rPr>
            </w:pPr>
            <w:r>
              <w:rPr>
                <w:rFonts w:ascii="Arial" w:cs="Arial" w:eastAsia="Arial" w:hAnsi="Arial"/>
                <w:sz w:val="16"/>
                <w:szCs w:val="16"/>
                <w:color w:val="auto"/>
              </w:rPr>
              <w:t>Year over Year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w w:val="99"/>
              </w:rPr>
              <w:t>Change in Fair Value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120"/>
              <w:spacing w:after="0"/>
              <w:rPr>
                <w:sz w:val="20"/>
                <w:szCs w:val="20"/>
                <w:color w:val="auto"/>
              </w:rPr>
            </w:pPr>
            <w:r>
              <w:rPr>
                <w:rFonts w:ascii="Arial" w:cs="Arial" w:eastAsia="Arial" w:hAnsi="Arial"/>
                <w:sz w:val="16"/>
                <w:szCs w:val="16"/>
                <w:color w:val="auto"/>
              </w:rPr>
              <w:t>of Outstanding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Unvested Equity</w:t>
            </w:r>
          </w:p>
        </w:tc>
        <w:tc>
          <w:tcPr>
            <w:tcW w:w="300" w:type="dxa"/>
            <w:vAlign w:val="bottom"/>
            <w:gridSpan w:val="3"/>
            <w:vMerge w:val="restart"/>
          </w:tcPr>
          <w:p>
            <w:pPr>
              <w:ind w:left="40"/>
              <w:spacing w:after="0"/>
              <w:rPr>
                <w:sz w:val="20"/>
                <w:szCs w:val="20"/>
                <w:color w:val="auto"/>
              </w:rPr>
            </w:pPr>
            <w:r>
              <w:rPr>
                <w:rFonts w:ascii="Arial" w:cs="Arial" w:eastAsia="Arial" w:hAnsi="Arial"/>
                <w:sz w:val="16"/>
                <w:szCs w:val="16"/>
                <w:color w:val="auto"/>
              </w:rPr>
              <w:t>​​​ ​</w:t>
            </w:r>
          </w:p>
        </w:tc>
        <w:tc>
          <w:tcPr>
            <w:tcW w:w="1380" w:type="dxa"/>
            <w:vAlign w:val="bottom"/>
            <w:gridSpan w:val="3"/>
            <w:vMerge w:val="restart"/>
          </w:tcPr>
          <w:p>
            <w:pPr>
              <w:jc w:val="right"/>
              <w:ind w:right="419"/>
              <w:spacing w:after="0"/>
              <w:rPr>
                <w:sz w:val="20"/>
                <w:szCs w:val="20"/>
                <w:color w:val="auto"/>
              </w:rPr>
            </w:pPr>
            <w:r>
              <w:rPr>
                <w:rFonts w:ascii="Arial" w:cs="Arial" w:eastAsia="Arial" w:hAnsi="Arial"/>
                <w:sz w:val="16"/>
                <w:szCs w:val="16"/>
                <w:color w:val="auto"/>
              </w:rPr>
              <w:t>0​​​​ ​</w:t>
            </w:r>
          </w:p>
        </w:tc>
        <w:tc>
          <w:tcPr>
            <w:tcW w:w="2640" w:type="dxa"/>
            <w:vAlign w:val="bottom"/>
            <w:gridSpan w:val="12"/>
            <w:vMerge w:val="restart"/>
          </w:tcPr>
          <w:p>
            <w:pPr>
              <w:ind w:lef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 ​</w:t>
            </w:r>
          </w:p>
        </w:tc>
        <w:tc>
          <w:tcPr>
            <w:tcW w:w="500" w:type="dxa"/>
            <w:vAlign w:val="bottom"/>
            <w:gridSpan w:val="3"/>
            <w:vMerge w:val="restart"/>
          </w:tcPr>
          <w:p>
            <w:pPr>
              <w:ind w:left="100"/>
              <w:spacing w:after="0"/>
              <w:rPr>
                <w:sz w:val="20"/>
                <w:szCs w:val="20"/>
                <w:color w:val="auto"/>
              </w:rPr>
            </w:pPr>
            <w:r>
              <w:rPr>
                <w:rFonts w:ascii="Arial" w:cs="Arial" w:eastAsia="Arial" w:hAnsi="Arial"/>
                <w:sz w:val="16"/>
                <w:szCs w:val="16"/>
                <w:color w:val="auto"/>
              </w:rPr>
              <w:t>0​​​​ ​</w:t>
            </w:r>
          </w:p>
        </w:tc>
        <w:tc>
          <w:tcPr>
            <w:tcW w:w="540" w:type="dxa"/>
            <w:vAlign w:val="bottom"/>
          </w:tcPr>
          <w:p>
            <w:pPr>
              <w:spacing w:after="0"/>
              <w:rPr>
                <w:sz w:val="17"/>
                <w:szCs w:val="17"/>
                <w:color w:val="auto"/>
              </w:rPr>
            </w:pPr>
          </w:p>
        </w:tc>
        <w:tc>
          <w:tcPr>
            <w:tcW w:w="1060" w:type="dxa"/>
            <w:vAlign w:val="bottom"/>
            <w:gridSpan w:val="2"/>
            <w:vMerge w:val="restart"/>
          </w:tcPr>
          <w:p>
            <w:pPr>
              <w:jc w:val="right"/>
              <w:ind w:right="521"/>
              <w:spacing w:after="0"/>
              <w:rPr>
                <w:sz w:val="20"/>
                <w:szCs w:val="20"/>
                <w:color w:val="auto"/>
              </w:rPr>
            </w:pPr>
            <w:r>
              <w:rPr>
                <w:rFonts w:ascii="Arial" w:cs="Arial" w:eastAsia="Arial" w:hAnsi="Arial"/>
                <w:sz w:val="16"/>
                <w:szCs w:val="16"/>
                <w:color w:val="auto"/>
              </w:rPr>
              <w:t>0​​​​ ​</w:t>
            </w:r>
          </w:p>
        </w:tc>
        <w:tc>
          <w:tcPr>
            <w:tcW w:w="1340" w:type="dxa"/>
            <w:vAlign w:val="bottom"/>
            <w:gridSpan w:val="5"/>
            <w:vMerge w:val="restart"/>
          </w:tcPr>
          <w:p>
            <w:pPr>
              <w:jc w:val="right"/>
              <w:spacing w:after="0"/>
              <w:rPr>
                <w:sz w:val="20"/>
                <w:szCs w:val="20"/>
                <w:color w:val="auto"/>
              </w:rPr>
            </w:pPr>
            <w:r>
              <w:rPr>
                <w:rFonts w:ascii="Arial" w:cs="Arial" w:eastAsia="Arial" w:hAnsi="Arial"/>
                <w:sz w:val="16"/>
                <w:szCs w:val="16"/>
                <w:color w:val="auto"/>
              </w:rPr>
              <w:t>0​​​​ ​12,840,313​​</w:t>
            </w:r>
          </w:p>
        </w:tc>
        <w:tc>
          <w:tcPr>
            <w:tcW w:w="0" w:type="dxa"/>
            <w:vAlign w:val="bottom"/>
          </w:tcPr>
          <w:p>
            <w:pPr>
              <w:spacing w:after="0"/>
              <w:rPr>
                <w:sz w:val="1"/>
                <w:szCs w:val="1"/>
                <w:color w:val="auto"/>
              </w:rPr>
            </w:pPr>
          </w:p>
        </w:tc>
      </w:tr>
      <w:tr>
        <w:trPr>
          <w:trHeight w:val="229"/>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​Awards</w:t>
            </w:r>
          </w:p>
        </w:tc>
        <w:tc>
          <w:tcPr>
            <w:tcW w:w="300" w:type="dxa"/>
            <w:vAlign w:val="bottom"/>
            <w:tcBorders>
              <w:bottom w:val="single" w:sz="8" w:color="auto"/>
            </w:tcBorders>
            <w:gridSpan w:val="3"/>
            <w:vMerge w:val="continue"/>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2640" w:type="dxa"/>
            <w:vAlign w:val="bottom"/>
            <w:tcBorders>
              <w:bottom w:val="single" w:sz="8" w:color="auto"/>
            </w:tcBorders>
            <w:gridSpan w:val="12"/>
            <w:vMerge w:val="continue"/>
          </w:tcPr>
          <w:p>
            <w:pPr>
              <w:spacing w:after="0"/>
              <w:rPr>
                <w:sz w:val="19"/>
                <w:szCs w:val="19"/>
                <w:color w:val="auto"/>
              </w:rPr>
            </w:pPr>
          </w:p>
        </w:tc>
        <w:tc>
          <w:tcPr>
            <w:tcW w:w="500" w:type="dxa"/>
            <w:vAlign w:val="bottom"/>
            <w:tcBorders>
              <w:bottom w:val="single" w:sz="8" w:color="auto"/>
            </w:tcBorders>
            <w:gridSpan w:val="3"/>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134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Year over Year</w:t>
            </w:r>
          </w:p>
        </w:tc>
        <w:tc>
          <w:tcPr>
            <w:tcW w:w="60" w:type="dxa"/>
            <w:vAlign w:val="bottom"/>
            <w:shd w:val="clear" w:color="auto" w:fill="E5E5E5"/>
          </w:tcPr>
          <w:p>
            <w:pPr>
              <w:spacing w:after="0"/>
              <w:rPr>
                <w:sz w:val="18"/>
                <w:szCs w:val="18"/>
                <w:color w:val="auto"/>
              </w:rPr>
            </w:pPr>
          </w:p>
        </w:tc>
        <w:tc>
          <w:tcPr>
            <w:tcW w:w="120" w:type="dxa"/>
            <w:vAlign w:val="bottom"/>
            <w:tcBorders>
              <w:left w:val="single" w:sz="8" w:color="E5E5E5"/>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tcBorders>
              <w:right w:val="single" w:sz="8" w:color="E5E5E5"/>
            </w:tcBorders>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w w:val="99"/>
              </w:rPr>
              <w:t>Change in Fair Value</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0" w:type="dxa"/>
            <w:vAlign w:val="bottom"/>
            <w:tcBorders>
              <w:right w:val="single" w:sz="8" w:color="E5E5E5"/>
            </w:tcBorders>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of Equity Awards</w:t>
            </w:r>
          </w:p>
        </w:tc>
        <w:tc>
          <w:tcPr>
            <w:tcW w:w="60" w:type="dxa"/>
            <w:vAlign w:val="bottom"/>
            <w:shd w:val="clear" w:color="auto" w:fill="E5E5E5"/>
          </w:tcPr>
          <w:p>
            <w:pPr>
              <w:spacing w:after="0"/>
              <w:rPr>
                <w:sz w:val="16"/>
                <w:szCs w:val="16"/>
                <w:color w:val="auto"/>
              </w:rPr>
            </w:pPr>
          </w:p>
        </w:tc>
        <w:tc>
          <w:tcPr>
            <w:tcW w:w="120" w:type="dxa"/>
            <w:vAlign w:val="bottom"/>
            <w:tcBorders>
              <w:left w:val="single" w:sz="8" w:color="E5E5E5"/>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0" w:type="dxa"/>
            <w:vAlign w:val="bottom"/>
            <w:tcBorders>
              <w:right w:val="single" w:sz="8" w:color="E5E5E5"/>
            </w:tcBorders>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w w:val="99"/>
              </w:rPr>
              <w:t>Granted in Prior Year</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0" w:type="dxa"/>
            <w:vAlign w:val="bottom"/>
            <w:tcBorders>
              <w:right w:val="single" w:sz="8" w:color="E5E5E5"/>
            </w:tcBorders>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that Vested in the</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2,365</w:t>
            </w:r>
          </w:p>
        </w:tc>
        <w:tc>
          <w:tcPr>
            <w:tcW w:w="160" w:type="dxa"/>
            <w:vAlign w:val="bottom"/>
            <w:shd w:val="clear" w:color="auto" w:fill="E5E5E5"/>
          </w:tcPr>
          <w:p>
            <w:pPr>
              <w:spacing w:after="0"/>
              <w:rPr>
                <w:sz w:val="17"/>
                <w:szCs w:val="17"/>
                <w:color w:val="auto"/>
              </w:rPr>
            </w:pPr>
          </w:p>
        </w:tc>
        <w:tc>
          <w:tcPr>
            <w:tcW w:w="580" w:type="dxa"/>
            <w:vAlign w:val="bottom"/>
            <w:vMerge w:val="restart"/>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E5E5E5"/>
          </w:tcPr>
          <w:p>
            <w:pPr>
              <w:ind w:left="80"/>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2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2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80" w:type="dxa"/>
            <w:vAlign w:val="bottom"/>
            <w:shd w:val="clear" w:color="auto" w:fill="E5E5E5"/>
          </w:tcPr>
          <w:p>
            <w:pPr>
              <w:spacing w:after="0"/>
              <w:rPr>
                <w:sz w:val="17"/>
                <w:szCs w:val="17"/>
                <w:color w:val="auto"/>
              </w:rPr>
            </w:pPr>
          </w:p>
        </w:tc>
        <w:tc>
          <w:tcPr>
            <w:tcW w:w="6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w w:val="71"/>
              </w:rPr>
              <w:t>0</w:t>
            </w:r>
          </w:p>
        </w:tc>
        <w:tc>
          <w:tcPr>
            <w:tcW w:w="200" w:type="dxa"/>
            <w:vAlign w:val="bottom"/>
            <w:shd w:val="clear" w:color="auto" w:fill="E5E5E5"/>
          </w:tcPr>
          <w:p>
            <w:pPr>
              <w:spacing w:after="0"/>
              <w:rPr>
                <w:sz w:val="17"/>
                <w:szCs w:val="17"/>
                <w:color w:val="auto"/>
              </w:rPr>
            </w:pPr>
          </w:p>
        </w:tc>
        <w:tc>
          <w:tcPr>
            <w:tcW w:w="12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E5E5E5"/>
          </w:tcPr>
          <w:p>
            <w:pPr>
              <w:jc w:val="right"/>
              <w:ind w:right="52"/>
              <w:spacing w:after="0"/>
              <w:rPr>
                <w:sz w:val="20"/>
                <w:szCs w:val="20"/>
                <w:color w:val="auto"/>
              </w:rPr>
            </w:pPr>
            <w:r>
              <w:rPr>
                <w:rFonts w:ascii="Arial" w:cs="Arial" w:eastAsia="Arial" w:hAnsi="Arial"/>
                <w:sz w:val="16"/>
                <w:szCs w:val="16"/>
                <w:color w:val="auto"/>
              </w:rPr>
              <w:t>(483,585)</w:t>
            </w:r>
          </w:p>
        </w:tc>
        <w:tc>
          <w:tcPr>
            <w:tcW w:w="680" w:type="dxa"/>
            <w:vAlign w:val="bottom"/>
            <w:vMerge w:val="restart"/>
            <w:shd w:val="clear" w:color="auto" w:fill="E5E5E5"/>
          </w:tcPr>
          <w:p>
            <w:pPr>
              <w:jc w:val="right"/>
              <w:ind w:right="521"/>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spacing w:after="0"/>
              <w:rPr>
                <w:sz w:val="17"/>
                <w:szCs w:val="17"/>
                <w:color w:val="auto"/>
              </w:rPr>
            </w:pPr>
          </w:p>
        </w:tc>
        <w:tc>
          <w:tcPr>
            <w:tcW w:w="660" w:type="dxa"/>
            <w:vAlign w:val="bottom"/>
            <w:vMerge w:val="restart"/>
            <w:shd w:val="clear" w:color="auto" w:fill="E5E5E5"/>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​Year</w:t>
            </w:r>
          </w:p>
        </w:tc>
        <w:tc>
          <w:tcPr>
            <w:tcW w:w="18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w:t>
            </w:r>
          </w:p>
        </w:tc>
        <w:tc>
          <w:tcPr>
            <w:tcW w:w="120" w:type="dxa"/>
            <w:vAlign w:val="bottom"/>
            <w:vMerge w:val="continue"/>
            <w:shd w:val="clear" w:color="auto" w:fill="E5E5E5"/>
          </w:tcPr>
          <w:p>
            <w:pPr>
              <w:spacing w:after="0"/>
              <w:rPr>
                <w:sz w:val="12"/>
                <w:szCs w:val="12"/>
                <w:color w:val="auto"/>
              </w:rPr>
            </w:pPr>
          </w:p>
        </w:tc>
        <w:tc>
          <w:tcPr>
            <w:tcW w:w="640" w:type="dxa"/>
            <w:vAlign w:val="bottom"/>
            <w:vMerge w:val="continue"/>
            <w:shd w:val="clear" w:color="auto" w:fill="E5E5E5"/>
          </w:tcPr>
          <w:p>
            <w:pPr>
              <w:spacing w:after="0"/>
              <w:rPr>
                <w:sz w:val="12"/>
                <w:szCs w:val="12"/>
                <w:color w:val="auto"/>
              </w:rPr>
            </w:pPr>
          </w:p>
        </w:tc>
        <w:tc>
          <w:tcPr>
            <w:tcW w:w="1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580" w:type="dxa"/>
            <w:vAlign w:val="bottom"/>
            <w:vMerge w:val="continue"/>
            <w:shd w:val="clear" w:color="auto" w:fill="E5E5E5"/>
          </w:tcPr>
          <w:p>
            <w:pPr>
              <w:spacing w:after="0"/>
              <w:rPr>
                <w:sz w:val="12"/>
                <w:szCs w:val="12"/>
                <w:color w:val="auto"/>
              </w:rPr>
            </w:pPr>
          </w:p>
        </w:tc>
        <w:tc>
          <w:tcPr>
            <w:tcW w:w="180" w:type="dxa"/>
            <w:vAlign w:val="bottom"/>
            <w:vMerge w:val="continue"/>
            <w:shd w:val="clear" w:color="auto" w:fill="E5E5E5"/>
          </w:tcPr>
          <w:p>
            <w:pPr>
              <w:spacing w:after="0"/>
              <w:rPr>
                <w:sz w:val="12"/>
                <w:szCs w:val="12"/>
                <w:color w:val="auto"/>
              </w:rPr>
            </w:pP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8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20" w:type="dxa"/>
            <w:vAlign w:val="bottom"/>
            <w:vMerge w:val="continue"/>
            <w:shd w:val="clear" w:color="auto" w:fill="E5E5E5"/>
          </w:tcPr>
          <w:p>
            <w:pPr>
              <w:spacing w:after="0"/>
              <w:rPr>
                <w:sz w:val="12"/>
                <w:szCs w:val="12"/>
                <w:color w:val="auto"/>
              </w:rPr>
            </w:pPr>
          </w:p>
        </w:tc>
        <w:tc>
          <w:tcPr>
            <w:tcW w:w="180" w:type="dxa"/>
            <w:vAlign w:val="bottom"/>
            <w:vMerge w:val="continue"/>
            <w:shd w:val="clear" w:color="auto" w:fill="E5E5E5"/>
          </w:tcPr>
          <w:p>
            <w:pPr>
              <w:spacing w:after="0"/>
              <w:rPr>
                <w:sz w:val="12"/>
                <w:szCs w:val="12"/>
                <w:color w:val="auto"/>
              </w:rPr>
            </w:pPr>
          </w:p>
        </w:tc>
        <w:tc>
          <w:tcPr>
            <w:tcW w:w="2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20" w:type="dxa"/>
            <w:vAlign w:val="bottom"/>
            <w:vMerge w:val="continue"/>
            <w:shd w:val="clear" w:color="auto" w:fill="E5E5E5"/>
          </w:tcPr>
          <w:p>
            <w:pPr>
              <w:spacing w:after="0"/>
              <w:rPr>
                <w:sz w:val="12"/>
                <w:szCs w:val="12"/>
                <w:color w:val="auto"/>
              </w:rPr>
            </w:pPr>
          </w:p>
        </w:tc>
        <w:tc>
          <w:tcPr>
            <w:tcW w:w="920" w:type="dxa"/>
            <w:vAlign w:val="bottom"/>
            <w:gridSpan w:val="2"/>
            <w:vMerge w:val="continue"/>
            <w:shd w:val="clear" w:color="auto" w:fill="E5E5E5"/>
          </w:tcPr>
          <w:p>
            <w:pPr>
              <w:spacing w:after="0"/>
              <w:rPr>
                <w:sz w:val="12"/>
                <w:szCs w:val="12"/>
                <w:color w:val="auto"/>
              </w:rPr>
            </w:pPr>
          </w:p>
        </w:tc>
        <w:tc>
          <w:tcPr>
            <w:tcW w:w="680" w:type="dxa"/>
            <w:vAlign w:val="bottom"/>
            <w:vMerge w:val="continue"/>
            <w:shd w:val="clear" w:color="auto" w:fill="E5E5E5"/>
          </w:tcPr>
          <w:p>
            <w:pPr>
              <w:spacing w:after="0"/>
              <w:rPr>
                <w:sz w:val="12"/>
                <w:szCs w:val="12"/>
                <w:color w:val="auto"/>
              </w:rPr>
            </w:pPr>
          </w:p>
        </w:tc>
        <w:tc>
          <w:tcPr>
            <w:tcW w:w="220" w:type="dxa"/>
            <w:vAlign w:val="bottom"/>
            <w:vMerge w:val="continue"/>
            <w:shd w:val="clear" w:color="auto" w:fill="E5E5E5"/>
          </w:tcPr>
          <w:p>
            <w:pPr>
              <w:spacing w:after="0"/>
              <w:rPr>
                <w:sz w:val="12"/>
                <w:szCs w:val="12"/>
                <w:color w:val="auto"/>
              </w:rPr>
            </w:pPr>
          </w:p>
        </w:tc>
        <w:tc>
          <w:tcPr>
            <w:tcW w:w="18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660" w:type="dxa"/>
            <w:vAlign w:val="bottom"/>
            <w:vMerge w:val="continue"/>
            <w:shd w:val="clear" w:color="auto" w:fill="E5E5E5"/>
          </w:tcPr>
          <w:p>
            <w:pPr>
              <w:spacing w:after="0"/>
              <w:rPr>
                <w:sz w:val="12"/>
                <w:szCs w:val="12"/>
                <w:color w:val="auto"/>
              </w:rPr>
            </w:pPr>
          </w:p>
        </w:tc>
        <w:tc>
          <w:tcPr>
            <w:tcW w:w="200" w:type="dxa"/>
            <w:vAlign w:val="bottom"/>
            <w:tcBorders>
              <w:right w:val="single" w:sz="8" w:color="E5E5E5"/>
            </w:tcBorders>
            <w:vMerge w:val="continue"/>
            <w:shd w:val="clear" w:color="auto" w:fill="E5E5E5"/>
          </w:tcPr>
          <w:p>
            <w:pPr>
              <w:spacing w:after="0"/>
              <w:rPr>
                <w:sz w:val="12"/>
                <w:szCs w:val="12"/>
                <w:color w:val="auto"/>
              </w:rPr>
            </w:pP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640" w:type="dxa"/>
            <w:vAlign w:val="bottom"/>
            <w:tcBorders>
              <w:bottom w:val="single" w:sz="8" w:color="auto"/>
            </w:tcBorders>
            <w:vMerge w:val="continue"/>
            <w:shd w:val="clear" w:color="auto" w:fill="E5E5E5"/>
          </w:tcPr>
          <w:p>
            <w:pPr>
              <w:spacing w:after="0"/>
              <w:rPr>
                <w:sz w:val="7"/>
                <w:szCs w:val="7"/>
                <w:color w:val="auto"/>
              </w:rPr>
            </w:pPr>
          </w:p>
        </w:tc>
        <w:tc>
          <w:tcPr>
            <w:tcW w:w="180" w:type="dxa"/>
            <w:vAlign w:val="bottom"/>
            <w:tcBorders>
              <w:bottom w:val="single" w:sz="8" w:color="auto"/>
            </w:tcBorders>
            <w:gridSpan w:val="2"/>
            <w:vMerge w:val="continue"/>
            <w:shd w:val="clear" w:color="auto" w:fill="E5E5E5"/>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640" w:type="dxa"/>
            <w:vAlign w:val="bottom"/>
            <w:tcBorders>
              <w:bottom w:val="single" w:sz="8" w:color="auto"/>
            </w:tcBorders>
            <w:shd w:val="clear" w:color="auto" w:fill="E5E5E5"/>
          </w:tcPr>
          <w:p>
            <w:pPr>
              <w:spacing w:after="0"/>
              <w:rPr>
                <w:sz w:val="7"/>
                <w:szCs w:val="7"/>
                <w:color w:val="auto"/>
              </w:rPr>
            </w:pPr>
          </w:p>
        </w:tc>
        <w:tc>
          <w:tcPr>
            <w:tcW w:w="160" w:type="dxa"/>
            <w:vAlign w:val="bottom"/>
            <w:tcBorders>
              <w:bottom w:val="single" w:sz="8" w:color="auto"/>
            </w:tcBorders>
            <w:vMerge w:val="continue"/>
            <w:shd w:val="clear" w:color="auto" w:fill="E5E5E5"/>
          </w:tcPr>
          <w:p>
            <w:pPr>
              <w:spacing w:after="0"/>
              <w:rPr>
                <w:sz w:val="7"/>
                <w:szCs w:val="7"/>
                <w:color w:val="auto"/>
              </w:rPr>
            </w:pPr>
          </w:p>
        </w:tc>
        <w:tc>
          <w:tcPr>
            <w:tcW w:w="58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10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gridSpan w:val="2"/>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vMerge w:val="continue"/>
            <w:shd w:val="clear" w:color="auto" w:fill="E5E5E5"/>
          </w:tcPr>
          <w:p>
            <w:pPr>
              <w:spacing w:after="0"/>
              <w:rPr>
                <w:sz w:val="7"/>
                <w:szCs w:val="7"/>
                <w:color w:val="auto"/>
              </w:rPr>
            </w:pPr>
          </w:p>
        </w:tc>
        <w:tc>
          <w:tcPr>
            <w:tcW w:w="6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vMerge w:val="continue"/>
            <w:shd w:val="clear" w:color="auto" w:fill="E5E5E5"/>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540" w:type="dxa"/>
            <w:vAlign w:val="bottom"/>
            <w:tcBorders>
              <w:bottom w:val="single" w:sz="8" w:color="auto"/>
            </w:tcBorders>
            <w:shd w:val="clear" w:color="auto" w:fill="E5E5E5"/>
          </w:tcPr>
          <w:p>
            <w:pPr>
              <w:spacing w:after="0"/>
              <w:rPr>
                <w:sz w:val="7"/>
                <w:szCs w:val="7"/>
                <w:color w:val="auto"/>
              </w:rPr>
            </w:pPr>
          </w:p>
        </w:tc>
        <w:tc>
          <w:tcPr>
            <w:tcW w:w="3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shd w:val="clear" w:color="auto" w:fill="E5E5E5"/>
          </w:tcPr>
          <w:p>
            <w:pPr>
              <w:spacing w:after="0"/>
              <w:rPr>
                <w:sz w:val="7"/>
                <w:szCs w:val="7"/>
                <w:color w:val="auto"/>
              </w:rPr>
            </w:pPr>
          </w:p>
        </w:tc>
        <w:tc>
          <w:tcPr>
            <w:tcW w:w="2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vMerge w:val="continue"/>
            <w:shd w:val="clear" w:color="auto" w:fill="E5E5E5"/>
          </w:tcPr>
          <w:p>
            <w:pPr>
              <w:spacing w:after="0"/>
              <w:rPr>
                <w:sz w:val="7"/>
                <w:szCs w:val="7"/>
                <w:color w:val="auto"/>
              </w:rPr>
            </w:pPr>
          </w:p>
        </w:tc>
        <w:tc>
          <w:tcPr>
            <w:tcW w:w="66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right w:val="single" w:sz="8" w:color="E5E5E5"/>
            </w:tcBorders>
            <w:shd w:val="clear" w:color="auto" w:fill="E5E5E5"/>
          </w:tcPr>
          <w:p>
            <w:pPr>
              <w:spacing w:after="0"/>
              <w:rPr>
                <w:sz w:val="7"/>
                <w:szCs w:val="7"/>
                <w:color w:val="auto"/>
              </w:rPr>
            </w:pPr>
          </w:p>
        </w:tc>
        <w:tc>
          <w:tcPr>
            <w:tcW w:w="80" w:type="dxa"/>
            <w:vAlign w:val="bottom"/>
            <w:tcBorders>
              <w:bottom w:val="single" w:sz="8" w:color="auto"/>
            </w:tcBorders>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640" w:type="dxa"/>
            <w:vAlign w:val="bottom"/>
          </w:tcPr>
          <w:p>
            <w:pPr>
              <w:ind w:left="120"/>
              <w:spacing w:after="0"/>
              <w:rPr>
                <w:sz w:val="20"/>
                <w:szCs w:val="20"/>
                <w:color w:val="auto"/>
              </w:rPr>
            </w:pPr>
            <w:r>
              <w:rPr>
                <w:rFonts w:ascii="Arial" w:cs="Arial" w:eastAsia="Arial" w:hAnsi="Arial"/>
                <w:sz w:val="16"/>
                <w:szCs w:val="16"/>
                <w:color w:val="auto"/>
              </w:rPr>
              <w:t>Fair Value as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Vesting Date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120"/>
              <w:spacing w:after="0"/>
              <w:rPr>
                <w:sz w:val="20"/>
                <w:szCs w:val="20"/>
                <w:color w:val="auto"/>
              </w:rPr>
            </w:pPr>
            <w:r>
              <w:rPr>
                <w:rFonts w:ascii="Arial" w:cs="Arial" w:eastAsia="Arial" w:hAnsi="Arial"/>
                <w:sz w:val="16"/>
                <w:szCs w:val="16"/>
                <w:color w:val="auto"/>
              </w:rPr>
              <w:t>Equity Awards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Granted and Vested</w:t>
            </w:r>
          </w:p>
        </w:tc>
        <w:tc>
          <w:tcPr>
            <w:tcW w:w="300" w:type="dxa"/>
            <w:vAlign w:val="bottom"/>
            <w:gridSpan w:val="3"/>
            <w:vMerge w:val="restart"/>
          </w:tcPr>
          <w:p>
            <w:pPr>
              <w:ind w:left="40"/>
              <w:spacing w:after="0"/>
              <w:rPr>
                <w:sz w:val="20"/>
                <w:szCs w:val="20"/>
                <w:color w:val="auto"/>
              </w:rPr>
            </w:pPr>
            <w:r>
              <w:rPr>
                <w:rFonts w:ascii="Arial" w:cs="Arial" w:eastAsia="Arial" w:hAnsi="Arial"/>
                <w:sz w:val="16"/>
                <w:szCs w:val="16"/>
                <w:color w:val="auto"/>
              </w:rPr>
              <w:t>​​​ ​</w:t>
            </w:r>
          </w:p>
        </w:tc>
        <w:tc>
          <w:tcPr>
            <w:tcW w:w="1380" w:type="dxa"/>
            <w:vAlign w:val="bottom"/>
            <w:gridSpan w:val="3"/>
            <w:vMerge w:val="restart"/>
          </w:tcPr>
          <w:p>
            <w:pPr>
              <w:jc w:val="right"/>
              <w:ind w:right="419"/>
              <w:spacing w:after="0"/>
              <w:rPr>
                <w:sz w:val="20"/>
                <w:szCs w:val="20"/>
                <w:color w:val="auto"/>
              </w:rPr>
            </w:pPr>
            <w:r>
              <w:rPr>
                <w:rFonts w:ascii="Arial" w:cs="Arial" w:eastAsia="Arial" w:hAnsi="Arial"/>
                <w:sz w:val="16"/>
                <w:szCs w:val="16"/>
                <w:color w:val="auto"/>
              </w:rPr>
              <w:t>0​​​​ ​</w:t>
            </w:r>
          </w:p>
        </w:tc>
        <w:tc>
          <w:tcPr>
            <w:tcW w:w="2640" w:type="dxa"/>
            <w:vAlign w:val="bottom"/>
            <w:gridSpan w:val="12"/>
            <w:vMerge w:val="restart"/>
          </w:tcPr>
          <w:p>
            <w:pPr>
              <w:ind w:lef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 ​</w:t>
            </w:r>
          </w:p>
        </w:tc>
        <w:tc>
          <w:tcPr>
            <w:tcW w:w="500" w:type="dxa"/>
            <w:vAlign w:val="bottom"/>
            <w:gridSpan w:val="3"/>
            <w:vMerge w:val="restart"/>
          </w:tcPr>
          <w:p>
            <w:pPr>
              <w:ind w:left="100"/>
              <w:spacing w:after="0"/>
              <w:rPr>
                <w:sz w:val="20"/>
                <w:szCs w:val="20"/>
                <w:color w:val="auto"/>
              </w:rPr>
            </w:pPr>
            <w:r>
              <w:rPr>
                <w:rFonts w:ascii="Arial" w:cs="Arial" w:eastAsia="Arial" w:hAnsi="Arial"/>
                <w:sz w:val="16"/>
                <w:szCs w:val="16"/>
                <w:color w:val="auto"/>
              </w:rPr>
              <w:t>0​​​​ ​</w:t>
            </w:r>
          </w:p>
        </w:tc>
        <w:tc>
          <w:tcPr>
            <w:tcW w:w="54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680" w:type="dxa"/>
            <w:vAlign w:val="bottom"/>
            <w:vMerge w:val="restart"/>
          </w:tcPr>
          <w:p>
            <w:pPr>
              <w:jc w:val="right"/>
              <w:ind w:right="521"/>
              <w:spacing w:after="0"/>
              <w:rPr>
                <w:sz w:val="20"/>
                <w:szCs w:val="20"/>
                <w:color w:val="auto"/>
              </w:rPr>
            </w:pPr>
            <w:r>
              <w:rPr>
                <w:rFonts w:ascii="Arial" w:cs="Arial" w:eastAsia="Arial" w:hAnsi="Arial"/>
                <w:sz w:val="16"/>
                <w:szCs w:val="16"/>
                <w:color w:val="auto"/>
              </w:rPr>
              <w:t>​</w:t>
            </w:r>
          </w:p>
        </w:tc>
        <w:tc>
          <w:tcPr>
            <w:tcW w:w="1060" w:type="dxa"/>
            <w:vAlign w:val="bottom"/>
            <w:gridSpan w:val="3"/>
            <w:vMerge w:val="restart"/>
          </w:tcPr>
          <w:p>
            <w:pPr>
              <w:jc w:val="center"/>
              <w:ind w:right="381"/>
              <w:spacing w:after="0"/>
              <w:rPr>
                <w:sz w:val="20"/>
                <w:szCs w:val="20"/>
                <w:color w:val="auto"/>
              </w:rPr>
            </w:pPr>
            <w:r>
              <w:rPr>
                <w:rFonts w:ascii="Arial" w:cs="Arial" w:eastAsia="Arial" w:hAnsi="Arial"/>
                <w:sz w:val="16"/>
                <w:szCs w:val="16"/>
                <w:color w:val="auto"/>
              </w:rPr>
              <w:t>0​​​​ ​</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 the year</w:t>
            </w:r>
          </w:p>
        </w:tc>
        <w:tc>
          <w:tcPr>
            <w:tcW w:w="300" w:type="dxa"/>
            <w:vAlign w:val="bottom"/>
            <w:tcBorders>
              <w:bottom w:val="single" w:sz="8" w:color="auto"/>
            </w:tcBorders>
            <w:gridSpan w:val="3"/>
            <w:vMerge w:val="continue"/>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2640" w:type="dxa"/>
            <w:vAlign w:val="bottom"/>
            <w:tcBorders>
              <w:bottom w:val="single" w:sz="8" w:color="auto"/>
            </w:tcBorders>
            <w:gridSpan w:val="12"/>
            <w:vMerge w:val="continue"/>
          </w:tcPr>
          <w:p>
            <w:pPr>
              <w:spacing w:after="0"/>
              <w:rPr>
                <w:sz w:val="19"/>
                <w:szCs w:val="19"/>
                <w:color w:val="auto"/>
              </w:rPr>
            </w:pPr>
          </w:p>
        </w:tc>
        <w:tc>
          <w:tcPr>
            <w:tcW w:w="500" w:type="dxa"/>
            <w:vAlign w:val="bottom"/>
            <w:tcBorders>
              <w:bottom w:val="single" w:sz="8" w:color="auto"/>
            </w:tcBorders>
            <w:gridSpan w:val="3"/>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w w:val="99"/>
              </w:rPr>
              <w:t>Fair Value at the End</w:t>
            </w:r>
          </w:p>
        </w:tc>
        <w:tc>
          <w:tcPr>
            <w:tcW w:w="60" w:type="dxa"/>
            <w:vAlign w:val="bottom"/>
            <w:shd w:val="clear" w:color="auto" w:fill="E5E5E5"/>
          </w:tcPr>
          <w:p>
            <w:pPr>
              <w:spacing w:after="0"/>
              <w:rPr>
                <w:sz w:val="18"/>
                <w:szCs w:val="18"/>
                <w:color w:val="auto"/>
              </w:rPr>
            </w:pPr>
          </w:p>
        </w:tc>
        <w:tc>
          <w:tcPr>
            <w:tcW w:w="120" w:type="dxa"/>
            <w:vAlign w:val="bottom"/>
            <w:tcBorders>
              <w:left w:val="single" w:sz="8" w:color="E5E5E5"/>
            </w:tcBorders>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tcBorders>
              <w:right w:val="single" w:sz="8" w:color="E5E5E5"/>
            </w:tcBorders>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of the Prior Year of</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0" w:type="dxa"/>
            <w:vAlign w:val="bottom"/>
            <w:tcBorders>
              <w:right w:val="single" w:sz="8" w:color="E5E5E5"/>
            </w:tcBorders>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Equity Awards that</w:t>
            </w:r>
          </w:p>
        </w:tc>
        <w:tc>
          <w:tcPr>
            <w:tcW w:w="60" w:type="dxa"/>
            <w:vAlign w:val="bottom"/>
            <w:shd w:val="clear" w:color="auto" w:fill="E5E5E5"/>
          </w:tcPr>
          <w:p>
            <w:pPr>
              <w:spacing w:after="0"/>
              <w:rPr>
                <w:sz w:val="16"/>
                <w:szCs w:val="16"/>
                <w:color w:val="auto"/>
              </w:rPr>
            </w:pPr>
          </w:p>
        </w:tc>
        <w:tc>
          <w:tcPr>
            <w:tcW w:w="120" w:type="dxa"/>
            <w:vAlign w:val="bottom"/>
            <w:tcBorders>
              <w:left w:val="single" w:sz="8" w:color="E5E5E5"/>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00" w:type="dxa"/>
            <w:vAlign w:val="bottom"/>
            <w:tcBorders>
              <w:right w:val="single" w:sz="8" w:color="E5E5E5"/>
            </w:tcBorders>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Failed to Meet</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0" w:type="dxa"/>
            <w:vAlign w:val="bottom"/>
            <w:tcBorders>
              <w:right w:val="single" w:sz="8" w:color="E5E5E5"/>
            </w:tcBorders>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E5E5E5"/>
          </w:tcPr>
          <w:p>
            <w:pPr>
              <w:ind w:left="120"/>
              <w:spacing w:after="0"/>
              <w:rPr>
                <w:sz w:val="20"/>
                <w:szCs w:val="20"/>
                <w:color w:val="auto"/>
              </w:rPr>
            </w:pPr>
            <w:r>
              <w:rPr>
                <w:rFonts w:ascii="Arial" w:cs="Arial" w:eastAsia="Arial" w:hAnsi="Arial"/>
                <w:sz w:val="16"/>
                <w:szCs w:val="16"/>
                <w:color w:val="auto"/>
                <w:w w:val="99"/>
              </w:rPr>
              <w:t>Vesting Conditions in</w:t>
            </w:r>
          </w:p>
        </w:tc>
        <w:tc>
          <w:tcPr>
            <w:tcW w:w="60" w:type="dxa"/>
            <w:vAlign w:val="bottom"/>
            <w:shd w:val="clear" w:color="auto" w:fill="E5E5E5"/>
          </w:tcPr>
          <w:p>
            <w:pPr>
              <w:spacing w:after="0"/>
              <w:rPr>
                <w:sz w:val="17"/>
                <w:szCs w:val="17"/>
                <w:color w:val="auto"/>
              </w:rPr>
            </w:pPr>
          </w:p>
        </w:tc>
        <w:tc>
          <w:tcPr>
            <w:tcW w:w="120" w:type="dxa"/>
            <w:vAlign w:val="bottom"/>
            <w:tcBorders>
              <w:left w:val="single" w:sz="8" w:color="E5E5E5"/>
            </w:tcBorders>
            <w:shd w:val="clear" w:color="auto" w:fill="E5E5E5"/>
          </w:tcPr>
          <w:p>
            <w:pPr>
              <w:spacing w:after="0"/>
              <w:rPr>
                <w:sz w:val="17"/>
                <w:szCs w:val="17"/>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E5E5E5"/>
          </w:tcPr>
          <w:p>
            <w:pPr>
              <w:spacing w:after="0"/>
              <w:rPr>
                <w:sz w:val="17"/>
                <w:szCs w:val="17"/>
                <w:color w:val="auto"/>
              </w:rPr>
            </w:pPr>
          </w:p>
        </w:tc>
        <w:tc>
          <w:tcPr>
            <w:tcW w:w="580" w:type="dxa"/>
            <w:vAlign w:val="bottom"/>
            <w:vMerge w:val="restart"/>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E5E5E5"/>
          </w:tcPr>
          <w:p>
            <w:pPr>
              <w:ind w:left="80"/>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2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2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300" w:type="dxa"/>
            <w:vAlign w:val="bottom"/>
            <w:vMerge w:val="restart"/>
            <w:shd w:val="clear" w:color="auto" w:fill="E5E5E5"/>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N/A</w:t>
            </w:r>
          </w:p>
        </w:tc>
        <w:tc>
          <w:tcPr>
            <w:tcW w:w="180" w:type="dxa"/>
            <w:vAlign w:val="bottom"/>
            <w:shd w:val="clear" w:color="auto" w:fill="E5E5E5"/>
          </w:tcPr>
          <w:p>
            <w:pPr>
              <w:spacing w:after="0"/>
              <w:rPr>
                <w:sz w:val="17"/>
                <w:szCs w:val="17"/>
                <w:color w:val="auto"/>
              </w:rPr>
            </w:pPr>
          </w:p>
        </w:tc>
        <w:tc>
          <w:tcPr>
            <w:tcW w:w="6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E5E5E5"/>
          </w:tcPr>
          <w:p>
            <w:pPr>
              <w:ind w:left="100"/>
              <w:spacing w:after="0"/>
              <w:rPr>
                <w:sz w:val="20"/>
                <w:szCs w:val="20"/>
                <w:color w:val="auto"/>
              </w:rPr>
            </w:pPr>
            <w:r>
              <w:rPr>
                <w:rFonts w:ascii="Arial" w:cs="Arial" w:eastAsia="Arial" w:hAnsi="Arial"/>
                <w:sz w:val="15"/>
                <w:szCs w:val="15"/>
                <w:color w:val="auto"/>
                <w:w w:val="71"/>
              </w:rPr>
              <w:t>0</w:t>
            </w:r>
          </w:p>
        </w:tc>
        <w:tc>
          <w:tcPr>
            <w:tcW w:w="200" w:type="dxa"/>
            <w:vAlign w:val="bottom"/>
            <w:shd w:val="clear" w:color="auto" w:fill="E5E5E5"/>
          </w:tcPr>
          <w:p>
            <w:pPr>
              <w:spacing w:after="0"/>
              <w:rPr>
                <w:sz w:val="17"/>
                <w:szCs w:val="17"/>
                <w:color w:val="auto"/>
              </w:rPr>
            </w:pPr>
          </w:p>
        </w:tc>
        <w:tc>
          <w:tcPr>
            <w:tcW w:w="1040" w:type="dxa"/>
            <w:vAlign w:val="bottom"/>
            <w:gridSpan w:val="3"/>
            <w:vMerge w:val="restart"/>
            <w:shd w:val="clear" w:color="auto" w:fill="E5E5E5"/>
          </w:tcPr>
          <w:p>
            <w:pPr>
              <w:jc w:val="right"/>
              <w:ind w:right="52"/>
              <w:spacing w:after="0"/>
              <w:rPr>
                <w:sz w:val="20"/>
                <w:szCs w:val="20"/>
                <w:color w:val="auto"/>
              </w:rPr>
            </w:pPr>
            <w:r>
              <w:rPr>
                <w:rFonts w:ascii="Arial" w:cs="Arial" w:eastAsia="Arial" w:hAnsi="Arial"/>
                <w:sz w:val="16"/>
                <w:szCs w:val="16"/>
                <w:color w:val="auto"/>
              </w:rPr>
              <w:t>​ (3,081,492)</w:t>
            </w:r>
          </w:p>
        </w:tc>
        <w:tc>
          <w:tcPr>
            <w:tcW w:w="680" w:type="dxa"/>
            <w:vAlign w:val="bottom"/>
            <w:vMerge w:val="restart"/>
            <w:shd w:val="clear" w:color="auto" w:fill="E5E5E5"/>
          </w:tcPr>
          <w:p>
            <w:pPr>
              <w:jc w:val="right"/>
              <w:ind w:right="521"/>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spacing w:after="0"/>
              <w:rPr>
                <w:sz w:val="17"/>
                <w:szCs w:val="17"/>
                <w:color w:val="auto"/>
              </w:rPr>
            </w:pPr>
          </w:p>
        </w:tc>
        <w:tc>
          <w:tcPr>
            <w:tcW w:w="660" w:type="dxa"/>
            <w:vAlign w:val="bottom"/>
            <w:vMerge w:val="restart"/>
            <w:shd w:val="clear" w:color="auto" w:fill="E5E5E5"/>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​the Year</w:t>
            </w:r>
          </w:p>
        </w:tc>
        <w:tc>
          <w:tcPr>
            <w:tcW w:w="18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w:t>
            </w:r>
          </w:p>
        </w:tc>
        <w:tc>
          <w:tcPr>
            <w:tcW w:w="120" w:type="dxa"/>
            <w:vAlign w:val="bottom"/>
            <w:vMerge w:val="continue"/>
            <w:shd w:val="clear" w:color="auto" w:fill="E5E5E5"/>
          </w:tcPr>
          <w:p>
            <w:pPr>
              <w:spacing w:after="0"/>
              <w:rPr>
                <w:sz w:val="12"/>
                <w:szCs w:val="12"/>
                <w:color w:val="auto"/>
              </w:rPr>
            </w:pPr>
          </w:p>
        </w:tc>
        <w:tc>
          <w:tcPr>
            <w:tcW w:w="640" w:type="dxa"/>
            <w:vAlign w:val="bottom"/>
            <w:vMerge w:val="continue"/>
            <w:shd w:val="clear" w:color="auto" w:fill="E5E5E5"/>
          </w:tcPr>
          <w:p>
            <w:pPr>
              <w:spacing w:after="0"/>
              <w:rPr>
                <w:sz w:val="12"/>
                <w:szCs w:val="12"/>
                <w:color w:val="auto"/>
              </w:rPr>
            </w:pPr>
          </w:p>
        </w:tc>
        <w:tc>
          <w:tcPr>
            <w:tcW w:w="1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580" w:type="dxa"/>
            <w:vAlign w:val="bottom"/>
            <w:vMerge w:val="continue"/>
            <w:shd w:val="clear" w:color="auto" w:fill="E5E5E5"/>
          </w:tcPr>
          <w:p>
            <w:pPr>
              <w:spacing w:after="0"/>
              <w:rPr>
                <w:sz w:val="12"/>
                <w:szCs w:val="12"/>
                <w:color w:val="auto"/>
              </w:rPr>
            </w:pPr>
          </w:p>
        </w:tc>
        <w:tc>
          <w:tcPr>
            <w:tcW w:w="180" w:type="dxa"/>
            <w:vAlign w:val="bottom"/>
            <w:vMerge w:val="continue"/>
            <w:shd w:val="clear" w:color="auto" w:fill="E5E5E5"/>
          </w:tcPr>
          <w:p>
            <w:pPr>
              <w:spacing w:after="0"/>
              <w:rPr>
                <w:sz w:val="12"/>
                <w:szCs w:val="12"/>
                <w:color w:val="auto"/>
              </w:rPr>
            </w:pPr>
          </w:p>
        </w:tc>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E5E5E5"/>
          </w:tcPr>
          <w:p>
            <w:pPr>
              <w:spacing w:after="0"/>
              <w:rPr>
                <w:sz w:val="12"/>
                <w:szCs w:val="12"/>
                <w:color w:val="auto"/>
              </w:rPr>
            </w:pPr>
          </w:p>
        </w:tc>
        <w:tc>
          <w:tcPr>
            <w:tcW w:w="18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20" w:type="dxa"/>
            <w:vAlign w:val="bottom"/>
            <w:vMerge w:val="continue"/>
            <w:shd w:val="clear" w:color="auto" w:fill="E5E5E5"/>
          </w:tcPr>
          <w:p>
            <w:pPr>
              <w:spacing w:after="0"/>
              <w:rPr>
                <w:sz w:val="12"/>
                <w:szCs w:val="12"/>
                <w:color w:val="auto"/>
              </w:rPr>
            </w:pPr>
          </w:p>
        </w:tc>
        <w:tc>
          <w:tcPr>
            <w:tcW w:w="180" w:type="dxa"/>
            <w:vAlign w:val="bottom"/>
            <w:vMerge w:val="continue"/>
            <w:shd w:val="clear" w:color="auto" w:fill="E5E5E5"/>
          </w:tcPr>
          <w:p>
            <w:pPr>
              <w:spacing w:after="0"/>
              <w:rPr>
                <w:sz w:val="12"/>
                <w:szCs w:val="12"/>
                <w:color w:val="auto"/>
              </w:rPr>
            </w:pPr>
          </w:p>
        </w:tc>
        <w:tc>
          <w:tcPr>
            <w:tcW w:w="2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040" w:type="dxa"/>
            <w:vAlign w:val="bottom"/>
            <w:gridSpan w:val="3"/>
            <w:vMerge w:val="continue"/>
            <w:shd w:val="clear" w:color="auto" w:fill="E5E5E5"/>
          </w:tcPr>
          <w:p>
            <w:pPr>
              <w:spacing w:after="0"/>
              <w:rPr>
                <w:sz w:val="12"/>
                <w:szCs w:val="12"/>
                <w:color w:val="auto"/>
              </w:rPr>
            </w:pPr>
          </w:p>
        </w:tc>
        <w:tc>
          <w:tcPr>
            <w:tcW w:w="680" w:type="dxa"/>
            <w:vAlign w:val="bottom"/>
            <w:vMerge w:val="continue"/>
            <w:shd w:val="clear" w:color="auto" w:fill="E5E5E5"/>
          </w:tcPr>
          <w:p>
            <w:pPr>
              <w:spacing w:after="0"/>
              <w:rPr>
                <w:sz w:val="12"/>
                <w:szCs w:val="12"/>
                <w:color w:val="auto"/>
              </w:rPr>
            </w:pPr>
          </w:p>
        </w:tc>
        <w:tc>
          <w:tcPr>
            <w:tcW w:w="220" w:type="dxa"/>
            <w:vAlign w:val="bottom"/>
            <w:vMerge w:val="continue"/>
            <w:shd w:val="clear" w:color="auto" w:fill="E5E5E5"/>
          </w:tcPr>
          <w:p>
            <w:pPr>
              <w:spacing w:after="0"/>
              <w:rPr>
                <w:sz w:val="12"/>
                <w:szCs w:val="12"/>
                <w:color w:val="auto"/>
              </w:rPr>
            </w:pPr>
          </w:p>
        </w:tc>
        <w:tc>
          <w:tcPr>
            <w:tcW w:w="18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660" w:type="dxa"/>
            <w:vAlign w:val="bottom"/>
            <w:vMerge w:val="continue"/>
            <w:shd w:val="clear" w:color="auto" w:fill="E5E5E5"/>
          </w:tcPr>
          <w:p>
            <w:pPr>
              <w:spacing w:after="0"/>
              <w:rPr>
                <w:sz w:val="12"/>
                <w:szCs w:val="12"/>
                <w:color w:val="auto"/>
              </w:rPr>
            </w:pPr>
          </w:p>
        </w:tc>
        <w:tc>
          <w:tcPr>
            <w:tcW w:w="200" w:type="dxa"/>
            <w:vAlign w:val="bottom"/>
            <w:tcBorders>
              <w:right w:val="single" w:sz="8" w:color="E5E5E5"/>
            </w:tcBorders>
            <w:vMerge w:val="continue"/>
            <w:shd w:val="clear" w:color="auto" w:fill="E5E5E5"/>
          </w:tcPr>
          <w:p>
            <w:pPr>
              <w:spacing w:after="0"/>
              <w:rPr>
                <w:sz w:val="12"/>
                <w:szCs w:val="12"/>
                <w:color w:val="auto"/>
              </w:rPr>
            </w:pP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640" w:type="dxa"/>
            <w:vAlign w:val="bottom"/>
            <w:tcBorders>
              <w:bottom w:val="single" w:sz="8" w:color="auto"/>
            </w:tcBorders>
            <w:vMerge w:val="continue"/>
            <w:shd w:val="clear" w:color="auto" w:fill="E5E5E5"/>
          </w:tcPr>
          <w:p>
            <w:pPr>
              <w:spacing w:after="0"/>
              <w:rPr>
                <w:sz w:val="7"/>
                <w:szCs w:val="7"/>
                <w:color w:val="auto"/>
              </w:rPr>
            </w:pPr>
          </w:p>
        </w:tc>
        <w:tc>
          <w:tcPr>
            <w:tcW w:w="180" w:type="dxa"/>
            <w:vAlign w:val="bottom"/>
            <w:tcBorders>
              <w:bottom w:val="single" w:sz="8" w:color="auto"/>
            </w:tcBorders>
            <w:gridSpan w:val="2"/>
            <w:vMerge w:val="continue"/>
            <w:shd w:val="clear" w:color="auto" w:fill="E5E5E5"/>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640" w:type="dxa"/>
            <w:vAlign w:val="bottom"/>
            <w:tcBorders>
              <w:bottom w:val="single" w:sz="8" w:color="auto"/>
            </w:tcBorders>
            <w:shd w:val="clear" w:color="auto" w:fill="E5E5E5"/>
          </w:tcPr>
          <w:p>
            <w:pPr>
              <w:spacing w:after="0"/>
              <w:rPr>
                <w:sz w:val="7"/>
                <w:szCs w:val="7"/>
                <w:color w:val="auto"/>
              </w:rPr>
            </w:pPr>
          </w:p>
        </w:tc>
        <w:tc>
          <w:tcPr>
            <w:tcW w:w="160" w:type="dxa"/>
            <w:vAlign w:val="bottom"/>
            <w:tcBorders>
              <w:bottom w:val="single" w:sz="8" w:color="auto"/>
            </w:tcBorders>
            <w:vMerge w:val="continue"/>
            <w:shd w:val="clear" w:color="auto" w:fill="E5E5E5"/>
          </w:tcPr>
          <w:p>
            <w:pPr>
              <w:spacing w:after="0"/>
              <w:rPr>
                <w:sz w:val="7"/>
                <w:szCs w:val="7"/>
                <w:color w:val="auto"/>
              </w:rPr>
            </w:pPr>
          </w:p>
        </w:tc>
        <w:tc>
          <w:tcPr>
            <w:tcW w:w="58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10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20" w:type="dxa"/>
            <w:vAlign w:val="bottom"/>
            <w:tcBorders>
              <w:bottom w:val="single" w:sz="8" w:color="auto"/>
            </w:tcBorders>
            <w:gridSpan w:val="2"/>
            <w:vMerge w:val="continue"/>
            <w:shd w:val="clear" w:color="auto" w:fill="E5E5E5"/>
          </w:tcPr>
          <w:p>
            <w:pPr>
              <w:spacing w:after="0"/>
              <w:rPr>
                <w:sz w:val="7"/>
                <w:szCs w:val="7"/>
                <w:color w:val="auto"/>
              </w:rPr>
            </w:pPr>
          </w:p>
        </w:tc>
        <w:tc>
          <w:tcPr>
            <w:tcW w:w="30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vMerge w:val="continue"/>
            <w:shd w:val="clear" w:color="auto" w:fill="E5E5E5"/>
          </w:tcPr>
          <w:p>
            <w:pPr>
              <w:spacing w:after="0"/>
              <w:rPr>
                <w:sz w:val="7"/>
                <w:szCs w:val="7"/>
                <w:color w:val="auto"/>
              </w:rPr>
            </w:pPr>
          </w:p>
        </w:tc>
        <w:tc>
          <w:tcPr>
            <w:tcW w:w="6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vMerge w:val="continue"/>
            <w:shd w:val="clear" w:color="auto" w:fill="E5E5E5"/>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540" w:type="dxa"/>
            <w:vAlign w:val="bottom"/>
            <w:tcBorders>
              <w:bottom w:val="single" w:sz="8" w:color="auto"/>
            </w:tcBorders>
            <w:shd w:val="clear" w:color="auto" w:fill="E5E5E5"/>
          </w:tcPr>
          <w:p>
            <w:pPr>
              <w:spacing w:after="0"/>
              <w:rPr>
                <w:sz w:val="7"/>
                <w:szCs w:val="7"/>
                <w:color w:val="auto"/>
              </w:rPr>
            </w:pPr>
          </w:p>
        </w:tc>
        <w:tc>
          <w:tcPr>
            <w:tcW w:w="3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shd w:val="clear" w:color="auto" w:fill="E5E5E5"/>
          </w:tcPr>
          <w:p>
            <w:pPr>
              <w:spacing w:after="0"/>
              <w:rPr>
                <w:sz w:val="7"/>
                <w:szCs w:val="7"/>
                <w:color w:val="auto"/>
              </w:rPr>
            </w:pPr>
          </w:p>
        </w:tc>
        <w:tc>
          <w:tcPr>
            <w:tcW w:w="2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vMerge w:val="continue"/>
            <w:shd w:val="clear" w:color="auto" w:fill="E5E5E5"/>
          </w:tcPr>
          <w:p>
            <w:pPr>
              <w:spacing w:after="0"/>
              <w:rPr>
                <w:sz w:val="7"/>
                <w:szCs w:val="7"/>
                <w:color w:val="auto"/>
              </w:rPr>
            </w:pPr>
          </w:p>
        </w:tc>
        <w:tc>
          <w:tcPr>
            <w:tcW w:w="66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right w:val="single" w:sz="8" w:color="E5E5E5"/>
            </w:tcBorders>
            <w:shd w:val="clear" w:color="auto" w:fill="E5E5E5"/>
          </w:tcPr>
          <w:p>
            <w:pPr>
              <w:spacing w:after="0"/>
              <w:rPr>
                <w:sz w:val="7"/>
                <w:szCs w:val="7"/>
                <w:color w:val="auto"/>
              </w:rPr>
            </w:pPr>
          </w:p>
        </w:tc>
        <w:tc>
          <w:tcPr>
            <w:tcW w:w="80" w:type="dxa"/>
            <w:vAlign w:val="bottom"/>
            <w:tcBorders>
              <w:bottom w:val="single" w:sz="8" w:color="auto"/>
            </w:tcBorders>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640" w:type="dxa"/>
            <w:vAlign w:val="bottom"/>
          </w:tcPr>
          <w:p>
            <w:pPr>
              <w:ind w:left="120"/>
              <w:spacing w:after="0"/>
              <w:rPr>
                <w:sz w:val="20"/>
                <w:szCs w:val="20"/>
                <w:color w:val="auto"/>
              </w:rPr>
            </w:pPr>
            <w:r>
              <w:rPr>
                <w:rFonts w:ascii="Arial" w:cs="Arial" w:eastAsia="Arial" w:hAnsi="Arial"/>
                <w:sz w:val="16"/>
                <w:szCs w:val="16"/>
                <w:color w:val="auto"/>
              </w:rPr>
              <w:t>Average Value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Dividends or 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120"/>
              <w:spacing w:after="0"/>
              <w:rPr>
                <w:sz w:val="20"/>
                <w:szCs w:val="20"/>
                <w:color w:val="auto"/>
              </w:rPr>
            </w:pPr>
            <w:r>
              <w:rPr>
                <w:rFonts w:ascii="Arial" w:cs="Arial" w:eastAsia="Arial" w:hAnsi="Arial"/>
                <w:sz w:val="16"/>
                <w:szCs w:val="16"/>
                <w:color w:val="auto"/>
              </w:rPr>
              <w:t>Earnings Paid 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Stock or Option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Awards not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120"/>
              <w:spacing w:after="0"/>
              <w:rPr>
                <w:sz w:val="20"/>
                <w:szCs w:val="20"/>
                <w:color w:val="auto"/>
              </w:rPr>
            </w:pPr>
            <w:r>
              <w:rPr>
                <w:rFonts w:ascii="Arial" w:cs="Arial" w:eastAsia="Arial" w:hAnsi="Arial"/>
                <w:sz w:val="16"/>
                <w:szCs w:val="16"/>
                <w:color w:val="auto"/>
              </w:rPr>
              <w:t>Otherwise Reflected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rPr>
                <w:sz w:val="20"/>
                <w:szCs w:val="20"/>
                <w:color w:val="auto"/>
              </w:rPr>
            </w:pPr>
            <w:r>
              <w:rPr>
                <w:rFonts w:ascii="Arial" w:cs="Arial" w:eastAsia="Arial" w:hAnsi="Arial"/>
                <w:sz w:val="16"/>
                <w:szCs w:val="16"/>
                <w:color w:val="auto"/>
              </w:rPr>
              <w:t>in Fair Value of Total</w:t>
            </w:r>
          </w:p>
        </w:tc>
        <w:tc>
          <w:tcPr>
            <w:tcW w:w="300" w:type="dxa"/>
            <w:vAlign w:val="bottom"/>
            <w:gridSpan w:val="3"/>
            <w:vMerge w:val="restart"/>
          </w:tcPr>
          <w:p>
            <w:pPr>
              <w:ind w:left="40"/>
              <w:spacing w:after="0"/>
              <w:rPr>
                <w:sz w:val="20"/>
                <w:szCs w:val="20"/>
                <w:color w:val="auto"/>
              </w:rPr>
            </w:pPr>
            <w:r>
              <w:rPr>
                <w:rFonts w:ascii="Arial" w:cs="Arial" w:eastAsia="Arial" w:hAnsi="Arial"/>
                <w:sz w:val="16"/>
                <w:szCs w:val="16"/>
                <w:color w:val="auto"/>
              </w:rPr>
              <w:t>​​​ ​</w:t>
            </w:r>
          </w:p>
        </w:tc>
        <w:tc>
          <w:tcPr>
            <w:tcW w:w="1380" w:type="dxa"/>
            <w:vAlign w:val="bottom"/>
            <w:gridSpan w:val="3"/>
            <w:vMerge w:val="restart"/>
          </w:tcPr>
          <w:p>
            <w:pPr>
              <w:jc w:val="right"/>
              <w:ind w:right="419"/>
              <w:spacing w:after="0"/>
              <w:rPr>
                <w:sz w:val="20"/>
                <w:szCs w:val="20"/>
                <w:color w:val="auto"/>
              </w:rPr>
            </w:pPr>
            <w:r>
              <w:rPr>
                <w:rFonts w:ascii="Arial" w:cs="Arial" w:eastAsia="Arial" w:hAnsi="Arial"/>
                <w:sz w:val="16"/>
                <w:szCs w:val="16"/>
                <w:color w:val="auto"/>
              </w:rPr>
              <w:t>0​​​​ ​</w:t>
            </w:r>
          </w:p>
        </w:tc>
        <w:tc>
          <w:tcPr>
            <w:tcW w:w="2640" w:type="dxa"/>
            <w:vAlign w:val="bottom"/>
            <w:gridSpan w:val="12"/>
            <w:vMerge w:val="restart"/>
          </w:tcPr>
          <w:p>
            <w:pPr>
              <w:ind w:lef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 ​</w:t>
            </w:r>
          </w:p>
        </w:tc>
        <w:tc>
          <w:tcPr>
            <w:tcW w:w="500" w:type="dxa"/>
            <w:vAlign w:val="bottom"/>
            <w:gridSpan w:val="3"/>
            <w:vMerge w:val="restart"/>
          </w:tcPr>
          <w:p>
            <w:pPr>
              <w:ind w:left="100"/>
              <w:spacing w:after="0"/>
              <w:rPr>
                <w:sz w:val="20"/>
                <w:szCs w:val="20"/>
                <w:color w:val="auto"/>
              </w:rPr>
            </w:pPr>
            <w:r>
              <w:rPr>
                <w:rFonts w:ascii="Arial" w:cs="Arial" w:eastAsia="Arial" w:hAnsi="Arial"/>
                <w:sz w:val="16"/>
                <w:szCs w:val="16"/>
                <w:color w:val="auto"/>
              </w:rPr>
              <w:t>0​​​​ ​</w:t>
            </w:r>
          </w:p>
        </w:tc>
        <w:tc>
          <w:tcPr>
            <w:tcW w:w="540" w:type="dxa"/>
            <w:vAlign w:val="bottom"/>
          </w:tcPr>
          <w:p>
            <w:pPr>
              <w:spacing w:after="0"/>
              <w:rPr>
                <w:sz w:val="17"/>
                <w:szCs w:val="17"/>
                <w:color w:val="auto"/>
              </w:rPr>
            </w:pPr>
          </w:p>
        </w:tc>
        <w:tc>
          <w:tcPr>
            <w:tcW w:w="1060" w:type="dxa"/>
            <w:vAlign w:val="bottom"/>
            <w:gridSpan w:val="2"/>
            <w:vMerge w:val="restart"/>
          </w:tcPr>
          <w:p>
            <w:pPr>
              <w:jc w:val="right"/>
              <w:ind w:right="521"/>
              <w:spacing w:after="0"/>
              <w:rPr>
                <w:sz w:val="20"/>
                <w:szCs w:val="20"/>
                <w:color w:val="auto"/>
              </w:rPr>
            </w:pPr>
            <w:r>
              <w:rPr>
                <w:rFonts w:ascii="Arial" w:cs="Arial" w:eastAsia="Arial" w:hAnsi="Arial"/>
                <w:sz w:val="16"/>
                <w:szCs w:val="16"/>
                <w:color w:val="auto"/>
              </w:rPr>
              <w:t>0​​​​ ​</w:t>
            </w:r>
          </w:p>
        </w:tc>
        <w:tc>
          <w:tcPr>
            <w:tcW w:w="1060" w:type="dxa"/>
            <w:vAlign w:val="bottom"/>
            <w:gridSpan w:val="3"/>
            <w:vMerge w:val="restart"/>
          </w:tcPr>
          <w:p>
            <w:pPr>
              <w:jc w:val="center"/>
              <w:ind w:right="381"/>
              <w:spacing w:after="0"/>
              <w:rPr>
                <w:sz w:val="20"/>
                <w:szCs w:val="20"/>
                <w:color w:val="auto"/>
              </w:rPr>
            </w:pPr>
            <w:r>
              <w:rPr>
                <w:rFonts w:ascii="Arial" w:cs="Arial" w:eastAsia="Arial" w:hAnsi="Arial"/>
                <w:sz w:val="16"/>
                <w:szCs w:val="16"/>
                <w:color w:val="auto"/>
              </w:rPr>
              <w:t>0​​​​ ​</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​Compensation</w:t>
            </w:r>
          </w:p>
        </w:tc>
        <w:tc>
          <w:tcPr>
            <w:tcW w:w="300" w:type="dxa"/>
            <w:vAlign w:val="bottom"/>
            <w:tcBorders>
              <w:bottom w:val="single" w:sz="8" w:color="auto"/>
            </w:tcBorders>
            <w:gridSpan w:val="3"/>
            <w:vMerge w:val="continue"/>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2640" w:type="dxa"/>
            <w:vAlign w:val="bottom"/>
            <w:tcBorders>
              <w:bottom w:val="single" w:sz="8" w:color="auto"/>
            </w:tcBorders>
            <w:gridSpan w:val="12"/>
            <w:vMerge w:val="continue"/>
          </w:tcPr>
          <w:p>
            <w:pPr>
              <w:spacing w:after="0"/>
              <w:rPr>
                <w:sz w:val="19"/>
                <w:szCs w:val="19"/>
                <w:color w:val="auto"/>
              </w:rPr>
            </w:pPr>
          </w:p>
        </w:tc>
        <w:tc>
          <w:tcPr>
            <w:tcW w:w="500" w:type="dxa"/>
            <w:vAlign w:val="bottom"/>
            <w:tcBorders>
              <w:bottom w:val="single" w:sz="8" w:color="auto"/>
            </w:tcBorders>
            <w:gridSpan w:val="3"/>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106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6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​CAP</w:t>
            </w:r>
          </w:p>
        </w:tc>
        <w:tc>
          <w:tcPr>
            <w:tcW w:w="4700" w:type="dxa"/>
            <w:vAlign w:val="bottom"/>
            <w:tcBorders>
              <w:bottom w:val="single" w:sz="8" w:color="auto"/>
            </w:tcBorders>
            <w:gridSpan w:val="20"/>
            <w:shd w:val="clear" w:color="auto" w:fill="E5E5E5"/>
          </w:tcPr>
          <w:p>
            <w:pPr>
              <w:ind w:left="40"/>
              <w:spacing w:after="0"/>
              <w:rPr>
                <w:sz w:val="20"/>
                <w:szCs w:val="20"/>
                <w:color w:val="auto"/>
              </w:rPr>
            </w:pPr>
            <w:r>
              <w:rPr>
                <w:rFonts w:ascii="Arial" w:cs="Arial" w:eastAsia="Arial" w:hAnsi="Arial"/>
                <w:sz w:val="16"/>
                <w:szCs w:val="16"/>
                <w:color w:val="auto"/>
              </w:rPr>
              <w:t>​​​$8,978,348​​​​$6,626,033​​​</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w:t>
            </w:r>
            <w:r>
              <w:rPr>
                <w:rFonts w:ascii="Arial" w:cs="Arial" w:eastAsia="Arial" w:hAnsi="Arial"/>
                <w:sz w:val="16"/>
                <w:szCs w:val="16"/>
                <w:b w:val="1"/>
                <w:bCs w:val="1"/>
                <w:color w:val="auto"/>
              </w:rPr>
              <w:t>​</w:t>
            </w:r>
            <w:r>
              <w:rPr>
                <w:rFonts w:ascii="Arial" w:cs="Arial" w:eastAsia="Arial" w:hAnsi="Arial"/>
                <w:sz w:val="16"/>
                <w:szCs w:val="16"/>
                <w:color w:val="auto"/>
              </w:rPr>
              <w:t>N/A ​​​​$ 5,514,924​​​​$</w:t>
            </w:r>
          </w:p>
        </w:tc>
        <w:tc>
          <w:tcPr>
            <w:tcW w:w="120" w:type="dxa"/>
            <w:vAlign w:val="bottom"/>
            <w:tcBorders>
              <w:bottom w:val="single" w:sz="8" w:color="auto"/>
            </w:tcBorders>
            <w:shd w:val="clear" w:color="auto" w:fill="E5E5E5"/>
          </w:tcPr>
          <w:p>
            <w:pPr>
              <w:spacing w:after="0"/>
              <w:rPr>
                <w:sz w:val="20"/>
                <w:szCs w:val="20"/>
                <w:color w:val="auto"/>
              </w:rPr>
            </w:pPr>
          </w:p>
        </w:tc>
        <w:tc>
          <w:tcPr>
            <w:tcW w:w="2940" w:type="dxa"/>
            <w:vAlign w:val="bottom"/>
            <w:tcBorders>
              <w:bottom w:val="single" w:sz="8" w:color="auto"/>
            </w:tcBorders>
            <w:gridSpan w:val="8"/>
            <w:shd w:val="clear" w:color="auto" w:fill="E5E5E5"/>
          </w:tcPr>
          <w:p>
            <w:pPr>
              <w:jc w:val="right"/>
              <w:spacing w:after="0"/>
              <w:rPr>
                <w:sz w:val="20"/>
                <w:szCs w:val="20"/>
                <w:color w:val="auto"/>
              </w:rPr>
            </w:pPr>
            <w:r>
              <w:rPr>
                <w:rFonts w:ascii="Arial" w:cs="Arial" w:eastAsia="Arial" w:hAnsi="Arial"/>
                <w:sz w:val="16"/>
                <w:szCs w:val="16"/>
                <w:color w:val="auto"/>
              </w:rPr>
              <w:t>524,667​​​​$ 24,342,316​​​​$60,074,922​​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-6497320</wp:posOffset>
            </wp:positionV>
            <wp:extent cx="10718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45</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266065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3860" w:type="dxa"/>
            <w:vAlign w:val="bottom"/>
            <w:gridSpan w:val="2"/>
          </w:tcPr>
          <w:p>
            <w:pPr>
              <w:ind w:left="20"/>
              <w:spacing w:after="0"/>
              <w:rPr>
                <w:sz w:val="20"/>
                <w:szCs w:val="20"/>
                <w:color w:val="auto"/>
              </w:rPr>
            </w:pPr>
            <w:r>
              <w:rPr>
                <w:rFonts w:ascii="Arial" w:cs="Arial" w:eastAsia="Arial" w:hAnsi="Arial"/>
                <w:sz w:val="16"/>
                <w:szCs w:val="16"/>
                <w:b w:val="1"/>
                <w:bCs w:val="1"/>
                <w:color w:val="auto"/>
              </w:rPr>
              <w:t>​ ​</w:t>
            </w:r>
          </w:p>
        </w:tc>
        <w:tc>
          <w:tcPr>
            <w:tcW w:w="12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8CE5CE"/>
          </w:tcPr>
          <w:p>
            <w:pPr>
              <w:ind w:left="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8CE5CE"/>
          </w:tcPr>
          <w:p>
            <w:pPr>
              <w:spacing w:after="0"/>
              <w:rPr>
                <w:sz w:val="22"/>
                <w:szCs w:val="22"/>
                <w:color w:val="auto"/>
              </w:rPr>
            </w:pPr>
          </w:p>
        </w:tc>
        <w:tc>
          <w:tcPr>
            <w:tcW w:w="460" w:type="dxa"/>
            <w:vAlign w:val="bottom"/>
            <w:shd w:val="clear" w:color="auto" w:fill="8CE5CE"/>
          </w:tcPr>
          <w:p>
            <w:pPr>
              <w:spacing w:after="0"/>
              <w:rPr>
                <w:sz w:val="22"/>
                <w:szCs w:val="22"/>
                <w:color w:val="auto"/>
              </w:rPr>
            </w:pPr>
          </w:p>
        </w:tc>
        <w:tc>
          <w:tcPr>
            <w:tcW w:w="160" w:type="dxa"/>
            <w:vAlign w:val="bottom"/>
            <w:shd w:val="clear" w:color="auto" w:fill="8CE5CE"/>
          </w:tcPr>
          <w:p>
            <w:pPr>
              <w:spacing w:after="0"/>
              <w:rPr>
                <w:sz w:val="22"/>
                <w:szCs w:val="22"/>
                <w:color w:val="auto"/>
              </w:rPr>
            </w:pPr>
          </w:p>
        </w:tc>
        <w:tc>
          <w:tcPr>
            <w:tcW w:w="280" w:type="dxa"/>
            <w:vAlign w:val="bottom"/>
            <w:shd w:val="clear" w:color="auto" w:fill="8CE5CE"/>
          </w:tcPr>
          <w:p>
            <w:pPr>
              <w:spacing w:after="0"/>
              <w:rPr>
                <w:sz w:val="22"/>
                <w:szCs w:val="22"/>
                <w:color w:val="auto"/>
              </w:rPr>
            </w:pPr>
          </w:p>
        </w:tc>
        <w:tc>
          <w:tcPr>
            <w:tcW w:w="140" w:type="dxa"/>
            <w:vAlign w:val="bottom"/>
            <w:shd w:val="clear" w:color="auto" w:fill="8CE5CE"/>
          </w:tcPr>
          <w:p>
            <w:pPr>
              <w:spacing w:after="0"/>
              <w:rPr>
                <w:sz w:val="22"/>
                <w:szCs w:val="22"/>
                <w:color w:val="auto"/>
              </w:rPr>
            </w:pPr>
          </w:p>
        </w:tc>
        <w:tc>
          <w:tcPr>
            <w:tcW w:w="460" w:type="dxa"/>
            <w:vAlign w:val="bottom"/>
            <w:shd w:val="clear" w:color="auto" w:fill="8CE5CE"/>
          </w:tcPr>
          <w:p>
            <w:pPr>
              <w:spacing w:after="0"/>
              <w:rPr>
                <w:sz w:val="22"/>
                <w:szCs w:val="22"/>
                <w:color w:val="auto"/>
              </w:rPr>
            </w:pPr>
          </w:p>
        </w:tc>
        <w:tc>
          <w:tcPr>
            <w:tcW w:w="2180" w:type="dxa"/>
            <w:vAlign w:val="bottom"/>
            <w:gridSpan w:val="7"/>
            <w:shd w:val="clear" w:color="auto" w:fill="8CE5CE"/>
          </w:tcPr>
          <w:p>
            <w:pPr>
              <w:jc w:val="right"/>
              <w:ind w:right="381"/>
              <w:spacing w:after="0"/>
              <w:rPr>
                <w:sz w:val="20"/>
                <w:szCs w:val="20"/>
                <w:color w:val="auto"/>
              </w:rPr>
            </w:pPr>
            <w:r>
              <w:rPr>
                <w:rFonts w:ascii="Arial" w:cs="Arial" w:eastAsia="Arial" w:hAnsi="Arial"/>
                <w:sz w:val="16"/>
                <w:szCs w:val="16"/>
                <w:b w:val="1"/>
                <w:bCs w:val="1"/>
                <w:color w:val="auto"/>
              </w:rPr>
              <w:t>Average Other NEOs</w:t>
            </w:r>
            <w:r>
              <w:rPr>
                <w:rFonts w:ascii="Arial" w:cs="Arial" w:eastAsia="Arial" w:hAnsi="Arial"/>
                <w:sz w:val="14"/>
                <w:szCs w:val="14"/>
                <w:b w:val="1"/>
                <w:bCs w:val="1"/>
                <w:color w:val="auto"/>
              </w:rPr>
              <w:t>​</w:t>
            </w:r>
          </w:p>
        </w:tc>
        <w:tc>
          <w:tcPr>
            <w:tcW w:w="180" w:type="dxa"/>
            <w:vAlign w:val="bottom"/>
            <w:shd w:val="clear" w:color="auto" w:fill="8CE5CE"/>
          </w:tcPr>
          <w:p>
            <w:pPr>
              <w:spacing w:after="0"/>
              <w:rPr>
                <w:sz w:val="22"/>
                <w:szCs w:val="22"/>
                <w:color w:val="auto"/>
              </w:rPr>
            </w:pPr>
          </w:p>
        </w:tc>
        <w:tc>
          <w:tcPr>
            <w:tcW w:w="340" w:type="dxa"/>
            <w:vAlign w:val="bottom"/>
            <w:shd w:val="clear" w:color="auto" w:fill="8CE5CE"/>
          </w:tcPr>
          <w:p>
            <w:pPr>
              <w:spacing w:after="0"/>
              <w:rPr>
                <w:sz w:val="22"/>
                <w:szCs w:val="22"/>
                <w:color w:val="auto"/>
              </w:rPr>
            </w:pPr>
          </w:p>
        </w:tc>
        <w:tc>
          <w:tcPr>
            <w:tcW w:w="60" w:type="dxa"/>
            <w:vAlign w:val="bottom"/>
            <w:shd w:val="clear" w:color="auto" w:fill="8CE5CE"/>
          </w:tcPr>
          <w:p>
            <w:pPr>
              <w:spacing w:after="0"/>
              <w:rPr>
                <w:sz w:val="22"/>
                <w:szCs w:val="22"/>
                <w:color w:val="auto"/>
              </w:rPr>
            </w:pPr>
          </w:p>
        </w:tc>
        <w:tc>
          <w:tcPr>
            <w:tcW w:w="540" w:type="dxa"/>
            <w:vAlign w:val="bottom"/>
            <w:shd w:val="clear" w:color="auto" w:fill="8CE5CE"/>
          </w:tcPr>
          <w:p>
            <w:pPr>
              <w:spacing w:after="0"/>
              <w:rPr>
                <w:sz w:val="22"/>
                <w:szCs w:val="22"/>
                <w:color w:val="auto"/>
              </w:rPr>
            </w:pPr>
          </w:p>
        </w:tc>
        <w:tc>
          <w:tcPr>
            <w:tcW w:w="200" w:type="dxa"/>
            <w:vAlign w:val="bottom"/>
            <w:shd w:val="clear" w:color="auto" w:fill="8CE5CE"/>
          </w:tcPr>
          <w:p>
            <w:pPr>
              <w:spacing w:after="0"/>
              <w:rPr>
                <w:sz w:val="22"/>
                <w:szCs w:val="22"/>
                <w:color w:val="auto"/>
              </w:rPr>
            </w:pPr>
          </w:p>
        </w:tc>
        <w:tc>
          <w:tcPr>
            <w:tcW w:w="100" w:type="dxa"/>
            <w:vAlign w:val="bottom"/>
            <w:shd w:val="clear" w:color="auto" w:fill="8CE5CE"/>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gridSpan w:val="2"/>
            <w:shd w:val="clear" w:color="auto" w:fill="B2EEDE"/>
          </w:tcPr>
          <w:p>
            <w:pPr>
              <w:ind w:left="6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8"/>
                <w:szCs w:val="28"/>
                <w:b w:val="1"/>
                <w:bCs w:val="1"/>
                <w:color w:val="auto"/>
                <w:vertAlign w:val="superscript"/>
              </w:rPr>
              <w:t>​</w:t>
            </w:r>
          </w:p>
        </w:tc>
        <w:tc>
          <w:tcPr>
            <w:tcW w:w="300" w:type="dxa"/>
            <w:vAlign w:val="bottom"/>
            <w:tcBorders>
              <w:bottom w:val="single" w:sz="8" w:color="auto"/>
            </w:tcBorders>
            <w:gridSpan w:val="2"/>
            <w:shd w:val="clear" w:color="auto" w:fill="B2EEDE"/>
          </w:tcPr>
          <w:p>
            <w:pPr>
              <w:ind w:left="80"/>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shd w:val="clear" w:color="auto" w:fill="B2EEDE"/>
          </w:tcPr>
          <w:p>
            <w:pPr>
              <w:spacing w:after="0"/>
              <w:rPr>
                <w:sz w:val="21"/>
                <w:szCs w:val="21"/>
                <w:color w:val="auto"/>
              </w:rPr>
            </w:pPr>
          </w:p>
        </w:tc>
        <w:tc>
          <w:tcPr>
            <w:tcW w:w="460" w:type="dxa"/>
            <w:vAlign w:val="bottom"/>
            <w:tcBorders>
              <w:bottom w:val="single" w:sz="8" w:color="auto"/>
            </w:tcBorders>
            <w:shd w:val="clear" w:color="auto" w:fill="B2EEDE"/>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shd w:val="clear" w:color="auto" w:fill="B2EEDE"/>
          </w:tcPr>
          <w:p>
            <w:pPr>
              <w:spacing w:after="0"/>
              <w:rPr>
                <w:sz w:val="21"/>
                <w:szCs w:val="21"/>
                <w:color w:val="auto"/>
              </w:rPr>
            </w:pPr>
          </w:p>
        </w:tc>
        <w:tc>
          <w:tcPr>
            <w:tcW w:w="280" w:type="dxa"/>
            <w:vAlign w:val="bottom"/>
            <w:tcBorders>
              <w:bottom w:val="single" w:sz="8" w:color="auto"/>
            </w:tcBorders>
            <w:shd w:val="clear" w:color="auto" w:fill="B2EEDE"/>
          </w:tcPr>
          <w:p>
            <w:pPr>
              <w:jc w:val="right"/>
              <w:ind w:right="28"/>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shd w:val="clear" w:color="auto" w:fill="B2EEDE"/>
          </w:tcPr>
          <w:p>
            <w:pPr>
              <w:spacing w:after="0"/>
              <w:rPr>
                <w:sz w:val="21"/>
                <w:szCs w:val="21"/>
                <w:color w:val="auto"/>
              </w:rPr>
            </w:pPr>
          </w:p>
        </w:tc>
        <w:tc>
          <w:tcPr>
            <w:tcW w:w="460" w:type="dxa"/>
            <w:vAlign w:val="bottom"/>
            <w:tcBorders>
              <w:bottom w:val="single" w:sz="8" w:color="auto"/>
            </w:tcBorders>
            <w:shd w:val="clear" w:color="auto" w:fill="B2EEDE"/>
          </w:tcPr>
          <w:p>
            <w:pPr>
              <w:jc w:val="right"/>
              <w:ind w:right="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shd w:val="clear" w:color="auto" w:fill="B2EEDE"/>
          </w:tcPr>
          <w:p>
            <w:pPr>
              <w:spacing w:after="0"/>
              <w:rPr>
                <w:sz w:val="21"/>
                <w:szCs w:val="21"/>
                <w:color w:val="auto"/>
              </w:rPr>
            </w:pPr>
          </w:p>
        </w:tc>
        <w:tc>
          <w:tcPr>
            <w:tcW w:w="280" w:type="dxa"/>
            <w:vAlign w:val="bottom"/>
            <w:tcBorders>
              <w:bottom w:val="single" w:sz="8" w:color="auto"/>
            </w:tcBorders>
            <w:shd w:val="clear" w:color="auto" w:fill="B2EEDE"/>
          </w:tcPr>
          <w:p>
            <w:pPr>
              <w:jc w:val="right"/>
              <w:ind w:right="42"/>
              <w:spacing w:after="0"/>
              <w:rPr>
                <w:sz w:val="20"/>
                <w:szCs w:val="20"/>
                <w:color w:val="auto"/>
              </w:rPr>
            </w:pPr>
            <w:r>
              <w:rPr>
                <w:rFonts w:ascii="Arial" w:cs="Arial" w:eastAsia="Arial" w:hAnsi="Arial"/>
                <w:sz w:val="14"/>
                <w:szCs w:val="14"/>
                <w:b w:val="1"/>
                <w:bCs w:val="1"/>
                <w:color w:val="auto"/>
              </w:rPr>
              <w:t>​ ​</w:t>
            </w:r>
          </w:p>
        </w:tc>
        <w:tc>
          <w:tcPr>
            <w:tcW w:w="120" w:type="dxa"/>
            <w:vAlign w:val="bottom"/>
            <w:tcBorders>
              <w:bottom w:val="single" w:sz="8" w:color="auto"/>
            </w:tcBorders>
            <w:shd w:val="clear" w:color="auto" w:fill="B2EEDE"/>
          </w:tcPr>
          <w:p>
            <w:pPr>
              <w:spacing w:after="0"/>
              <w:rPr>
                <w:sz w:val="21"/>
                <w:szCs w:val="21"/>
                <w:color w:val="auto"/>
              </w:rPr>
            </w:pPr>
          </w:p>
        </w:tc>
        <w:tc>
          <w:tcPr>
            <w:tcW w:w="500" w:type="dxa"/>
            <w:vAlign w:val="bottom"/>
            <w:tcBorders>
              <w:bottom w:val="single" w:sz="8" w:color="auto"/>
            </w:tcBorders>
            <w:shd w:val="clear" w:color="auto" w:fill="B2EEDE"/>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shd w:val="clear" w:color="auto" w:fill="B2EEDE"/>
          </w:tcPr>
          <w:p>
            <w:pPr>
              <w:spacing w:after="0"/>
              <w:rPr>
                <w:sz w:val="21"/>
                <w:szCs w:val="21"/>
                <w:color w:val="auto"/>
              </w:rPr>
            </w:pPr>
          </w:p>
        </w:tc>
        <w:tc>
          <w:tcPr>
            <w:tcW w:w="280" w:type="dxa"/>
            <w:vAlign w:val="bottom"/>
            <w:tcBorders>
              <w:bottom w:val="single" w:sz="8" w:color="auto"/>
            </w:tcBorders>
            <w:shd w:val="clear" w:color="auto" w:fill="B2EEDE"/>
          </w:tcPr>
          <w:p>
            <w:pPr>
              <w:jc w:val="right"/>
              <w:ind w:right="42"/>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shd w:val="clear" w:color="auto" w:fill="B2EEDE"/>
          </w:tcPr>
          <w:p>
            <w:pPr>
              <w:jc w:val="right"/>
              <w:ind w:right="21"/>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shd w:val="clear" w:color="auto" w:fill="B2EEDE"/>
          </w:tcPr>
          <w:p>
            <w:pPr>
              <w:spacing w:after="0"/>
              <w:rPr>
                <w:sz w:val="21"/>
                <w:szCs w:val="21"/>
                <w:color w:val="auto"/>
              </w:rPr>
            </w:pPr>
          </w:p>
        </w:tc>
        <w:tc>
          <w:tcPr>
            <w:tcW w:w="340" w:type="dxa"/>
            <w:vAlign w:val="bottom"/>
            <w:tcBorders>
              <w:bottom w:val="single" w:sz="8" w:color="auto"/>
            </w:tcBorders>
            <w:shd w:val="clear" w:color="auto" w:fill="B2EEDE"/>
          </w:tcPr>
          <w:p>
            <w:pPr>
              <w:jc w:val="center"/>
              <w:ind w:right="8"/>
              <w:spacing w:after="0"/>
              <w:rPr>
                <w:sz w:val="20"/>
                <w:szCs w:val="20"/>
                <w:color w:val="auto"/>
              </w:rPr>
            </w:pPr>
            <w:r>
              <w:rPr>
                <w:rFonts w:ascii="Arial" w:cs="Arial" w:eastAsia="Arial" w:hAnsi="Arial"/>
                <w:sz w:val="14"/>
                <w:szCs w:val="14"/>
                <w:b w:val="1"/>
                <w:bCs w:val="1"/>
                <w:color w:val="auto"/>
              </w:rPr>
              <w:t>​ ​</w:t>
            </w:r>
          </w:p>
        </w:tc>
        <w:tc>
          <w:tcPr>
            <w:tcW w:w="60" w:type="dxa"/>
            <w:vAlign w:val="bottom"/>
            <w:tcBorders>
              <w:bottom w:val="single" w:sz="8" w:color="auto"/>
            </w:tcBorders>
            <w:shd w:val="clear" w:color="auto" w:fill="B2EEDE"/>
          </w:tcPr>
          <w:p>
            <w:pPr>
              <w:spacing w:after="0"/>
              <w:rPr>
                <w:sz w:val="21"/>
                <w:szCs w:val="21"/>
                <w:color w:val="auto"/>
              </w:rPr>
            </w:pPr>
          </w:p>
        </w:tc>
        <w:tc>
          <w:tcPr>
            <w:tcW w:w="540" w:type="dxa"/>
            <w:vAlign w:val="bottom"/>
            <w:tcBorders>
              <w:bottom w:val="single" w:sz="8" w:color="auto"/>
            </w:tcBorders>
            <w:shd w:val="clear" w:color="auto" w:fill="B2EEDE"/>
          </w:tcPr>
          <w:p>
            <w:pPr>
              <w:jc w:val="right"/>
              <w:ind w:right="23"/>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shd w:val="clear" w:color="auto" w:fill="B2EEDE"/>
          </w:tcPr>
          <w:p>
            <w:pPr>
              <w:spacing w:after="0"/>
              <w:rPr>
                <w:sz w:val="21"/>
                <w:szCs w:val="21"/>
                <w:color w:val="auto"/>
              </w:rPr>
            </w:pPr>
          </w:p>
        </w:tc>
        <w:tc>
          <w:tcPr>
            <w:tcW w:w="10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SCT Total</w:t>
            </w:r>
          </w:p>
        </w:tc>
        <w:tc>
          <w:tcPr>
            <w:tcW w:w="4640" w:type="dxa"/>
            <w:vAlign w:val="bottom"/>
            <w:tcBorders>
              <w:bottom w:val="single" w:sz="8" w:color="auto"/>
            </w:tcBorders>
            <w:gridSpan w:val="17"/>
          </w:tcPr>
          <w:p>
            <w:pPr>
              <w:ind w:left="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$3,329,371</w:t>
            </w:r>
            <w:r>
              <w:rPr>
                <w:rFonts w:ascii="Arial" w:cs="Arial" w:eastAsia="Arial" w:hAnsi="Arial"/>
                <w:sz w:val="28"/>
                <w:szCs w:val="28"/>
                <w:color w:val="auto"/>
                <w:vertAlign w:val="subscript"/>
              </w:rPr>
              <w:t>​​ ​​</w:t>
            </w:r>
            <w:r>
              <w:rPr>
                <w:rFonts w:ascii="Arial" w:cs="Arial" w:eastAsia="Arial" w:hAnsi="Arial"/>
                <w:sz w:val="15"/>
                <w:szCs w:val="15"/>
                <w:color w:val="auto"/>
              </w:rPr>
              <w:t>$ 2,854,557</w:t>
            </w:r>
            <w:r>
              <w:rPr>
                <w:rFonts w:ascii="Arial" w:cs="Arial" w:eastAsia="Arial" w:hAnsi="Arial"/>
                <w:sz w:val="28"/>
                <w:szCs w:val="28"/>
                <w:color w:val="auto"/>
                <w:vertAlign w:val="subscript"/>
              </w:rPr>
              <w:t>​​ ​​</w:t>
            </w:r>
            <w:r>
              <w:rPr>
                <w:rFonts w:ascii="Arial" w:cs="Arial" w:eastAsia="Arial" w:hAnsi="Arial"/>
                <w:sz w:val="15"/>
                <w:szCs w:val="15"/>
                <w:color w:val="auto"/>
              </w:rPr>
              <w:t>$ 6,659,753</w:t>
            </w:r>
            <w:r>
              <w:rPr>
                <w:rFonts w:ascii="Arial" w:cs="Arial" w:eastAsia="Arial" w:hAnsi="Arial"/>
                <w:sz w:val="28"/>
                <w:szCs w:val="28"/>
                <w:color w:val="auto"/>
                <w:vertAlign w:val="subscript"/>
              </w:rPr>
              <w:t>​​ ​​</w:t>
            </w:r>
            <w:r>
              <w:rPr>
                <w:rFonts w:ascii="Arial" w:cs="Arial" w:eastAsia="Arial" w:hAnsi="Arial"/>
                <w:sz w:val="15"/>
                <w:szCs w:val="15"/>
                <w:color w:val="auto"/>
              </w:rPr>
              <w:t>$ 5,121,209</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15"/>
                <w:szCs w:val="15"/>
                <w:color w:val="auto"/>
              </w:rPr>
              <w:t>9,108,612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95"/>
        </w:trPr>
        <w:tc>
          <w:tcPr>
            <w:tcW w:w="120" w:type="dxa"/>
            <w:vAlign w:val="bottom"/>
            <w:shd w:val="clear" w:color="auto" w:fill="E5E5E5"/>
          </w:tcPr>
          <w:p>
            <w:pPr>
              <w:spacing w:after="0"/>
              <w:rPr>
                <w:sz w:val="16"/>
                <w:szCs w:val="16"/>
                <w:color w:val="auto"/>
              </w:rPr>
            </w:pPr>
          </w:p>
        </w:tc>
        <w:tc>
          <w:tcPr>
            <w:tcW w:w="3740" w:type="dxa"/>
            <w:vAlign w:val="bottom"/>
            <w:shd w:val="clear" w:color="auto" w:fill="E5E5E5"/>
          </w:tcPr>
          <w:p>
            <w:pPr>
              <w:spacing w:after="0"/>
              <w:rPr>
                <w:sz w:val="20"/>
                <w:szCs w:val="20"/>
                <w:color w:val="auto"/>
              </w:rPr>
            </w:pPr>
            <w:r>
              <w:rPr>
                <w:rFonts w:ascii="Arial" w:cs="Arial" w:eastAsia="Arial" w:hAnsi="Arial"/>
                <w:sz w:val="16"/>
                <w:szCs w:val="16"/>
                <w:color w:val="auto"/>
              </w:rPr>
              <w:t>Deduction for amounts reported in the “Stock</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740" w:type="dxa"/>
            <w:vAlign w:val="bottom"/>
            <w:shd w:val="clear" w:color="auto" w:fill="E5E5E5"/>
          </w:tcPr>
          <w:p>
            <w:pPr>
              <w:spacing w:after="0" w:line="163" w:lineRule="exact"/>
              <w:rPr>
                <w:sz w:val="20"/>
                <w:szCs w:val="20"/>
                <w:color w:val="auto"/>
              </w:rPr>
            </w:pPr>
            <w:r>
              <w:rPr>
                <w:rFonts w:ascii="Arial" w:cs="Arial" w:eastAsia="Arial" w:hAnsi="Arial"/>
                <w:sz w:val="16"/>
                <w:szCs w:val="16"/>
                <w:color w:val="auto"/>
              </w:rPr>
              <w:t>Awards” column in the SCT for applicable fiscal year</w:t>
            </w:r>
          </w:p>
        </w:tc>
        <w:tc>
          <w:tcPr>
            <w:tcW w:w="30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 ​​</w:t>
            </w:r>
          </w:p>
        </w:tc>
        <w:tc>
          <w:tcPr>
            <w:tcW w:w="14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color w:val="auto"/>
              </w:rPr>
              <w:t>​</w:t>
            </w:r>
          </w:p>
        </w:tc>
        <w:tc>
          <w:tcPr>
            <w:tcW w:w="460" w:type="dxa"/>
            <w:vAlign w:val="bottom"/>
            <w:shd w:val="clear" w:color="auto" w:fill="E5E5E5"/>
          </w:tcPr>
          <w:p>
            <w:pPr>
              <w:spacing w:after="0"/>
              <w:rPr>
                <w:sz w:val="14"/>
                <w:szCs w:val="14"/>
                <w:color w:val="auto"/>
              </w:rPr>
            </w:pPr>
          </w:p>
        </w:tc>
        <w:tc>
          <w:tcPr>
            <w:tcW w:w="16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0</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080" w:type="dxa"/>
            <w:vAlign w:val="bottom"/>
            <w:gridSpan w:val="4"/>
            <w:shd w:val="clear" w:color="auto" w:fill="E5E5E5"/>
          </w:tcPr>
          <w:p>
            <w:pPr>
              <w:jc w:val="right"/>
              <w:ind w:right="162"/>
              <w:spacing w:after="0" w:line="163" w:lineRule="exact"/>
              <w:rPr>
                <w:sz w:val="20"/>
                <w:szCs w:val="20"/>
                <w:color w:val="auto"/>
              </w:rPr>
            </w:pPr>
            <w:r>
              <w:rPr>
                <w:rFonts w:ascii="Arial" w:cs="Arial" w:eastAsia="Arial" w:hAnsi="Arial"/>
                <w:sz w:val="16"/>
                <w:szCs w:val="16"/>
                <w:color w:val="auto"/>
              </w:rPr>
              <w:t>​(1,017,838)</w:t>
            </w:r>
          </w:p>
        </w:tc>
        <w:tc>
          <w:tcPr>
            <w:tcW w:w="1080" w:type="dxa"/>
            <w:vAlign w:val="bottom"/>
            <w:gridSpan w:val="4"/>
            <w:shd w:val="clear" w:color="auto" w:fill="E5E5E5"/>
          </w:tcPr>
          <w:p>
            <w:pPr>
              <w:jc w:val="right"/>
              <w:ind w:right="162"/>
              <w:spacing w:after="0" w:line="163" w:lineRule="exact"/>
              <w:rPr>
                <w:sz w:val="20"/>
                <w:szCs w:val="20"/>
                <w:color w:val="auto"/>
              </w:rPr>
            </w:pPr>
            <w:r>
              <w:rPr>
                <w:rFonts w:ascii="Arial" w:cs="Arial" w:eastAsia="Arial" w:hAnsi="Arial"/>
                <w:sz w:val="16"/>
                <w:szCs w:val="16"/>
                <w:color w:val="auto"/>
              </w:rPr>
              <w:t>​(2,728,094)</w:t>
            </w:r>
          </w:p>
        </w:tc>
        <w:tc>
          <w:tcPr>
            <w:tcW w:w="1140" w:type="dxa"/>
            <w:vAlign w:val="bottom"/>
            <w:gridSpan w:val="3"/>
            <w:shd w:val="clear" w:color="auto" w:fill="E5E5E5"/>
          </w:tcPr>
          <w:p>
            <w:pPr>
              <w:ind w:left="20"/>
              <w:spacing w:after="0" w:line="163" w:lineRule="exact"/>
              <w:rPr>
                <w:sz w:val="20"/>
                <w:szCs w:val="20"/>
                <w:color w:val="auto"/>
              </w:rPr>
            </w:pPr>
            <w:r>
              <w:rPr>
                <w:rFonts w:ascii="Arial" w:cs="Arial" w:eastAsia="Arial" w:hAnsi="Arial"/>
                <w:sz w:val="16"/>
                <w:szCs w:val="16"/>
                <w:color w:val="auto"/>
              </w:rPr>
              <w:t>​(2,521,240)</w:t>
            </w:r>
          </w:p>
        </w:tc>
        <w:tc>
          <w:tcPr>
            <w:tcW w:w="900" w:type="dxa"/>
            <w:vAlign w:val="bottom"/>
            <w:gridSpan w:val="4"/>
            <w:shd w:val="clear" w:color="auto" w:fill="E5E5E5"/>
          </w:tcPr>
          <w:p>
            <w:pPr>
              <w:spacing w:after="0" w:line="163" w:lineRule="exact"/>
              <w:rPr>
                <w:sz w:val="20"/>
                <w:szCs w:val="20"/>
                <w:color w:val="auto"/>
              </w:rPr>
            </w:pPr>
            <w:r>
              <w:rPr>
                <w:rFonts w:ascii="Arial" w:cs="Arial" w:eastAsia="Arial" w:hAnsi="Arial"/>
                <w:sz w:val="16"/>
                <w:szCs w:val="16"/>
                <w:color w:val="auto"/>
              </w:rPr>
              <w:t>​(1,722,733)</w:t>
            </w:r>
          </w:p>
        </w:tc>
        <w:tc>
          <w:tcPr>
            <w:tcW w:w="0" w:type="dxa"/>
            <w:vAlign w:val="bottom"/>
          </w:tcPr>
          <w:p>
            <w:pPr>
              <w:spacing w:after="0"/>
              <w:rPr>
                <w:sz w:val="1"/>
                <w:szCs w:val="1"/>
                <w:color w:val="auto"/>
              </w:rPr>
            </w:pPr>
          </w:p>
        </w:tc>
      </w:tr>
      <w:tr>
        <w:trPr>
          <w:trHeight w:val="81"/>
        </w:trPr>
        <w:tc>
          <w:tcPr>
            <w:tcW w:w="120" w:type="dxa"/>
            <w:vAlign w:val="bottom"/>
            <w:tcBorders>
              <w:bottom w:val="single" w:sz="8" w:color="auto"/>
            </w:tcBorders>
            <w:vMerge w:val="continue"/>
            <w:shd w:val="clear" w:color="auto" w:fill="E5E5E5"/>
          </w:tcPr>
          <w:p>
            <w:pPr>
              <w:spacing w:after="0"/>
              <w:rPr>
                <w:sz w:val="7"/>
                <w:szCs w:val="7"/>
                <w:color w:val="auto"/>
              </w:rPr>
            </w:pPr>
          </w:p>
        </w:tc>
        <w:tc>
          <w:tcPr>
            <w:tcW w:w="3740" w:type="dxa"/>
            <w:vAlign w:val="bottom"/>
            <w:tcBorders>
              <w:bottom w:val="single" w:sz="8" w:color="auto"/>
            </w:tcBorders>
            <w:shd w:val="clear" w:color="auto" w:fill="E5E5E5"/>
          </w:tcPr>
          <w:p>
            <w:pPr>
              <w:spacing w:after="0"/>
              <w:rPr>
                <w:sz w:val="7"/>
                <w:szCs w:val="7"/>
                <w:color w:val="auto"/>
              </w:rPr>
            </w:pPr>
          </w:p>
        </w:tc>
        <w:tc>
          <w:tcPr>
            <w:tcW w:w="300" w:type="dxa"/>
            <w:vAlign w:val="bottom"/>
            <w:tcBorders>
              <w:bottom w:val="single" w:sz="8" w:color="auto"/>
            </w:tcBorders>
            <w:gridSpan w:val="2"/>
            <w:vMerge w:val="continue"/>
            <w:shd w:val="clear" w:color="auto" w:fill="E5E5E5"/>
          </w:tcPr>
          <w:p>
            <w:pPr>
              <w:spacing w:after="0"/>
              <w:rPr>
                <w:sz w:val="7"/>
                <w:szCs w:val="7"/>
                <w:color w:val="auto"/>
              </w:rPr>
            </w:pPr>
          </w:p>
        </w:tc>
        <w:tc>
          <w:tcPr>
            <w:tcW w:w="140" w:type="dxa"/>
            <w:vAlign w:val="bottom"/>
            <w:tcBorders>
              <w:bottom w:val="single" w:sz="8" w:color="auto"/>
            </w:tcBorders>
            <w:shd w:val="clear" w:color="auto" w:fill="E5E5E5"/>
          </w:tcPr>
          <w:p>
            <w:pPr>
              <w:spacing w:after="0"/>
              <w:rPr>
                <w:sz w:val="7"/>
                <w:szCs w:val="7"/>
                <w:color w:val="auto"/>
              </w:rPr>
            </w:pPr>
          </w:p>
        </w:tc>
        <w:tc>
          <w:tcPr>
            <w:tcW w:w="460" w:type="dxa"/>
            <w:vAlign w:val="bottom"/>
            <w:tcBorders>
              <w:bottom w:val="single" w:sz="8" w:color="auto"/>
            </w:tcBorders>
            <w:shd w:val="clear" w:color="auto" w:fill="E5E5E5"/>
          </w:tcPr>
          <w:p>
            <w:pPr>
              <w:spacing w:after="0"/>
              <w:rPr>
                <w:sz w:val="7"/>
                <w:szCs w:val="7"/>
                <w:color w:val="auto"/>
              </w:rPr>
            </w:pPr>
          </w:p>
        </w:tc>
        <w:tc>
          <w:tcPr>
            <w:tcW w:w="16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vMerge w:val="continue"/>
            <w:shd w:val="clear" w:color="auto" w:fill="E5E5E5"/>
          </w:tcPr>
          <w:p>
            <w:pPr>
              <w:spacing w:after="0"/>
              <w:rPr>
                <w:sz w:val="7"/>
                <w:szCs w:val="7"/>
                <w:color w:val="auto"/>
              </w:rPr>
            </w:pPr>
          </w:p>
        </w:tc>
        <w:tc>
          <w:tcPr>
            <w:tcW w:w="140" w:type="dxa"/>
            <w:vAlign w:val="bottom"/>
            <w:tcBorders>
              <w:bottom w:val="single" w:sz="8" w:color="auto"/>
            </w:tcBorders>
            <w:shd w:val="clear" w:color="auto" w:fill="E5E5E5"/>
          </w:tcPr>
          <w:p>
            <w:pPr>
              <w:spacing w:after="0"/>
              <w:rPr>
                <w:sz w:val="7"/>
                <w:szCs w:val="7"/>
                <w:color w:val="auto"/>
              </w:rPr>
            </w:pPr>
          </w:p>
        </w:tc>
        <w:tc>
          <w:tcPr>
            <w:tcW w:w="46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 ​​</w:t>
            </w:r>
          </w:p>
        </w:tc>
        <w:tc>
          <w:tcPr>
            <w:tcW w:w="120" w:type="dxa"/>
            <w:vAlign w:val="bottom"/>
            <w:tcBorders>
              <w:bottom w:val="single" w:sz="8" w:color="auto"/>
            </w:tcBorders>
            <w:shd w:val="clear" w:color="auto" w:fill="E5E5E5"/>
          </w:tcPr>
          <w:p>
            <w:pPr>
              <w:spacing w:after="0"/>
              <w:rPr>
                <w:sz w:val="7"/>
                <w:szCs w:val="7"/>
                <w:color w:val="auto"/>
              </w:rPr>
            </w:pPr>
          </w:p>
        </w:tc>
        <w:tc>
          <w:tcPr>
            <w:tcW w:w="50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 ​​</w:t>
            </w:r>
          </w:p>
        </w:tc>
        <w:tc>
          <w:tcPr>
            <w:tcW w:w="6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340" w:type="dxa"/>
            <w:vAlign w:val="bottom"/>
            <w:tcBorders>
              <w:bottom w:val="single" w:sz="8" w:color="auto"/>
            </w:tcBorders>
            <w:shd w:val="clear" w:color="auto" w:fill="E5E5E5"/>
          </w:tcPr>
          <w:p>
            <w:pPr>
              <w:jc w:val="center"/>
              <w:spacing w:after="0" w:line="81" w:lineRule="exact"/>
              <w:rPr>
                <w:sz w:val="20"/>
                <w:szCs w:val="20"/>
                <w:color w:val="auto"/>
              </w:rPr>
            </w:pPr>
            <w:r>
              <w:rPr>
                <w:rFonts w:ascii="Arial" w:cs="Arial" w:eastAsia="Arial" w:hAnsi="Arial"/>
                <w:sz w:val="9"/>
                <w:szCs w:val="9"/>
                <w:color w:val="auto"/>
              </w:rPr>
              <w:t>​​ ​​</w:t>
            </w:r>
          </w:p>
        </w:tc>
        <w:tc>
          <w:tcPr>
            <w:tcW w:w="60" w:type="dxa"/>
            <w:vAlign w:val="bottom"/>
            <w:tcBorders>
              <w:bottom w:val="single" w:sz="8" w:color="auto"/>
            </w:tcBorders>
            <w:shd w:val="clear" w:color="auto" w:fill="E5E5E5"/>
          </w:tcPr>
          <w:p>
            <w:pPr>
              <w:spacing w:after="0"/>
              <w:rPr>
                <w:sz w:val="7"/>
                <w:szCs w:val="7"/>
                <w:color w:val="auto"/>
              </w:rPr>
            </w:pPr>
          </w:p>
        </w:tc>
        <w:tc>
          <w:tcPr>
            <w:tcW w:w="54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shd w:val="clear" w:color="auto" w:fill="E5E5E5"/>
          </w:tcPr>
          <w:p>
            <w:pPr>
              <w:spacing w:after="0"/>
              <w:rPr>
                <w:sz w:val="7"/>
                <w:szCs w:val="7"/>
                <w:color w:val="auto"/>
              </w:rPr>
            </w:pPr>
          </w:p>
        </w:tc>
        <w:tc>
          <w:tcPr>
            <w:tcW w:w="10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Deduction for amounts reported in the “Option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​Awards” column in the SCT for applicable fiscal year</w:t>
            </w:r>
          </w:p>
        </w:tc>
        <w:tc>
          <w:tcPr>
            <w:tcW w:w="4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 ​​ ​</w:t>
            </w:r>
          </w:p>
        </w:tc>
        <w:tc>
          <w:tcPr>
            <w:tcW w:w="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 ​​ ​</w:t>
            </w:r>
          </w:p>
        </w:tc>
        <w:tc>
          <w:tcPr>
            <w:tcW w:w="4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 ​​ ​</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6"/>
                <w:szCs w:val="16"/>
                <w:color w:val="auto"/>
              </w:rPr>
              <w:t>0​​ ​​ ​</w:t>
            </w: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0​​ ​​ ​</w:t>
            </w: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1"/>
        </w:trPr>
        <w:tc>
          <w:tcPr>
            <w:tcW w:w="3860" w:type="dxa"/>
            <w:vAlign w:val="bottom"/>
            <w:tcBorders>
              <w:bottom w:val="single" w:sz="8" w:color="auto"/>
            </w:tcBorders>
            <w:gridSpan w:val="2"/>
            <w:shd w:val="clear" w:color="auto" w:fill="E5E5E5"/>
          </w:tcPr>
          <w:p>
            <w:pPr>
              <w:ind w:left="60"/>
              <w:spacing w:after="0" w:line="251"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Year End Fair Value of Current Year Equity Awards</w:t>
            </w:r>
          </w:p>
        </w:tc>
        <w:tc>
          <w:tcPr>
            <w:tcW w:w="440" w:type="dxa"/>
            <w:vAlign w:val="bottom"/>
            <w:tcBorders>
              <w:bottom w:val="single" w:sz="8" w:color="auto"/>
            </w:tcBorders>
            <w:gridSpan w:val="3"/>
            <w:shd w:val="clear" w:color="auto" w:fill="E5E5E5"/>
          </w:tcPr>
          <w:p>
            <w:pPr>
              <w:ind w:left="80"/>
              <w:spacing w:after="0" w:line="25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w:t>
            </w:r>
          </w:p>
        </w:tc>
        <w:tc>
          <w:tcPr>
            <w:tcW w:w="460" w:type="dxa"/>
            <w:vAlign w:val="bottom"/>
            <w:tcBorders>
              <w:bottom w:val="single" w:sz="8" w:color="auto"/>
            </w:tcBorders>
            <w:shd w:val="clear" w:color="auto" w:fill="E5E5E5"/>
          </w:tcPr>
          <w:p>
            <w:pPr>
              <w:spacing w:after="0"/>
              <w:rPr>
                <w:sz w:val="21"/>
                <w:szCs w:val="21"/>
                <w:color w:val="auto"/>
              </w:rPr>
            </w:pPr>
          </w:p>
        </w:tc>
        <w:tc>
          <w:tcPr>
            <w:tcW w:w="580" w:type="dxa"/>
            <w:vAlign w:val="bottom"/>
            <w:tcBorders>
              <w:bottom w:val="single" w:sz="8" w:color="auto"/>
            </w:tcBorders>
            <w:gridSpan w:val="3"/>
            <w:shd w:val="clear" w:color="auto" w:fill="E5E5E5"/>
          </w:tcPr>
          <w:p>
            <w:pPr>
              <w:jc w:val="right"/>
              <w:spacing w:after="0" w:line="251" w:lineRule="exact"/>
              <w:rPr>
                <w:sz w:val="20"/>
                <w:szCs w:val="20"/>
                <w:color w:val="auto"/>
              </w:rPr>
            </w:pPr>
            <w:r>
              <w:rPr>
                <w:rFonts w:ascii="Arial" w:cs="Arial" w:eastAsia="Arial" w:hAnsi="Arial"/>
                <w:sz w:val="29"/>
                <w:szCs w:val="29"/>
                <w:color w:val="auto"/>
                <w:vertAlign w:val="superscript"/>
              </w:rPr>
              <w:t>0</w:t>
            </w:r>
            <w:r>
              <w:rPr>
                <w:rFonts w:ascii="Arial" w:cs="Arial" w:eastAsia="Arial" w:hAnsi="Arial"/>
                <w:sz w:val="15"/>
                <w:szCs w:val="15"/>
                <w:color w:val="auto"/>
              </w:rPr>
              <w:t xml:space="preserve">​​ ​​ </w:t>
            </w:r>
            <w:r>
              <w:rPr>
                <w:rFonts w:ascii="Arial" w:cs="Arial" w:eastAsia="Arial" w:hAnsi="Arial"/>
                <w:sz w:val="29"/>
                <w:szCs w:val="29"/>
                <w:color w:val="auto"/>
                <w:vertAlign w:val="superscript"/>
              </w:rPr>
              <w:t>​</w:t>
            </w:r>
          </w:p>
        </w:tc>
        <w:tc>
          <w:tcPr>
            <w:tcW w:w="1060" w:type="dxa"/>
            <w:vAlign w:val="bottom"/>
            <w:tcBorders>
              <w:bottom w:val="single" w:sz="8" w:color="auto"/>
            </w:tcBorders>
            <w:gridSpan w:val="4"/>
            <w:shd w:val="clear" w:color="auto" w:fill="E5E5E5"/>
          </w:tcPr>
          <w:p>
            <w:pPr>
              <w:jc w:val="right"/>
              <w:spacing w:after="0" w:line="251" w:lineRule="exact"/>
              <w:rPr>
                <w:sz w:val="20"/>
                <w:szCs w:val="20"/>
                <w:color w:val="auto"/>
              </w:rPr>
            </w:pPr>
            <w:r>
              <w:rPr>
                <w:rFonts w:ascii="Arial" w:cs="Arial" w:eastAsia="Arial" w:hAnsi="Arial"/>
                <w:sz w:val="15"/>
                <w:szCs w:val="15"/>
                <w:color w:val="auto"/>
              </w:rPr>
              <w:t>814,101</w:t>
            </w:r>
            <w:r>
              <w:rPr>
                <w:rFonts w:ascii="Arial" w:cs="Arial" w:eastAsia="Arial" w:hAnsi="Arial"/>
                <w:sz w:val="29"/>
                <w:szCs w:val="29"/>
                <w:color w:val="auto"/>
                <w:vertAlign w:val="subscript"/>
              </w:rPr>
              <w:t>​​ ​​</w:t>
            </w:r>
            <w:r>
              <w:rPr>
                <w:rFonts w:ascii="Arial" w:cs="Arial" w:eastAsia="Arial" w:hAnsi="Arial"/>
                <w:sz w:val="15"/>
                <w:szCs w:val="15"/>
                <w:color w:val="auto"/>
              </w:rPr>
              <w:t xml:space="preserve"> ​</w:t>
            </w:r>
          </w:p>
        </w:tc>
        <w:tc>
          <w:tcPr>
            <w:tcW w:w="500" w:type="dxa"/>
            <w:vAlign w:val="bottom"/>
            <w:tcBorders>
              <w:bottom w:val="single" w:sz="8" w:color="auto"/>
            </w:tcBorders>
            <w:shd w:val="clear" w:color="auto" w:fill="E5E5E5"/>
          </w:tcPr>
          <w:p>
            <w:pPr>
              <w:spacing w:after="0"/>
              <w:rPr>
                <w:sz w:val="21"/>
                <w:szCs w:val="21"/>
                <w:color w:val="auto"/>
              </w:rPr>
            </w:pPr>
          </w:p>
        </w:tc>
        <w:tc>
          <w:tcPr>
            <w:tcW w:w="2500" w:type="dxa"/>
            <w:vAlign w:val="bottom"/>
            <w:tcBorders>
              <w:bottom w:val="single" w:sz="8" w:color="auto"/>
            </w:tcBorders>
            <w:gridSpan w:val="9"/>
            <w:shd w:val="clear" w:color="auto" w:fill="E5E5E5"/>
          </w:tcPr>
          <w:p>
            <w:pPr>
              <w:jc w:val="right"/>
              <w:spacing w:after="0" w:line="251" w:lineRule="exact"/>
              <w:rPr>
                <w:sz w:val="20"/>
                <w:szCs w:val="20"/>
                <w:color w:val="auto"/>
              </w:rPr>
            </w:pPr>
            <w:r>
              <w:rPr>
                <w:rFonts w:ascii="Arial" w:cs="Arial" w:eastAsia="Arial" w:hAnsi="Arial"/>
                <w:sz w:val="15"/>
                <w:szCs w:val="15"/>
                <w:color w:val="auto"/>
              </w:rPr>
              <w:t>0</w:t>
            </w:r>
            <w:r>
              <w:rPr>
                <w:rFonts w:ascii="Arial" w:cs="Arial" w:eastAsia="Arial" w:hAnsi="Arial"/>
                <w:sz w:val="29"/>
                <w:szCs w:val="29"/>
                <w:color w:val="auto"/>
                <w:vertAlign w:val="subscript"/>
              </w:rPr>
              <w:t>​​ ​​</w:t>
            </w:r>
            <w:r>
              <w:rPr>
                <w:rFonts w:ascii="Arial" w:cs="Arial" w:eastAsia="Arial" w:hAnsi="Arial"/>
                <w:sz w:val="15"/>
                <w:szCs w:val="15"/>
                <w:color w:val="auto"/>
              </w:rPr>
              <w:t xml:space="preserve"> ​1,903,063</w:t>
            </w:r>
            <w:r>
              <w:rPr>
                <w:rFonts w:ascii="Arial" w:cs="Arial" w:eastAsia="Arial" w:hAnsi="Arial"/>
                <w:sz w:val="29"/>
                <w:szCs w:val="29"/>
                <w:color w:val="auto"/>
                <w:vertAlign w:val="subscript"/>
              </w:rPr>
              <w:t>​​ ​​</w:t>
            </w:r>
            <w:r>
              <w:rPr>
                <w:rFonts w:ascii="Arial" w:cs="Arial" w:eastAsia="Arial" w:hAnsi="Arial"/>
                <w:sz w:val="15"/>
                <w:szCs w:val="15"/>
                <w:color w:val="auto"/>
              </w:rPr>
              <w:t xml:space="preserve"> ​ 1,098,155</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Year over Year Change in Fair Value of Outstanding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740" w:type="dxa"/>
            <w:vAlign w:val="bottom"/>
          </w:tcPr>
          <w:p>
            <w:pPr>
              <w:spacing w:after="0" w:line="163" w:lineRule="exact"/>
              <w:rPr>
                <w:sz w:val="20"/>
                <w:szCs w:val="20"/>
                <w:color w:val="auto"/>
              </w:rPr>
            </w:pPr>
            <w:r>
              <w:rPr>
                <w:rFonts w:ascii="Arial" w:cs="Arial" w:eastAsia="Arial" w:hAnsi="Arial"/>
                <w:sz w:val="16"/>
                <w:szCs w:val="16"/>
                <w:color w:val="auto"/>
              </w:rPr>
              <w:t>and Unvested Equity Awards</w:t>
            </w:r>
          </w:p>
        </w:tc>
        <w:tc>
          <w:tcPr>
            <w:tcW w:w="300" w:type="dxa"/>
            <w:vAlign w:val="bottom"/>
            <w:gridSpan w:val="2"/>
            <w:vMerge w:val="restart"/>
          </w:tcPr>
          <w:p>
            <w:pPr>
              <w:ind w:left="80"/>
              <w:spacing w:after="0"/>
              <w:rPr>
                <w:sz w:val="20"/>
                <w:szCs w:val="20"/>
                <w:color w:val="auto"/>
              </w:rPr>
            </w:pPr>
            <w:r>
              <w:rPr>
                <w:rFonts w:ascii="Arial" w:cs="Arial" w:eastAsia="Arial" w:hAnsi="Arial"/>
                <w:sz w:val="16"/>
                <w:szCs w:val="16"/>
                <w:color w:val="auto"/>
              </w:rPr>
              <w:t>​ ​​</w:t>
            </w:r>
          </w:p>
        </w:tc>
        <w:tc>
          <w:tcPr>
            <w:tcW w:w="14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8"/>
              <w:spacing w:after="0" w:line="163" w:lineRule="exact"/>
              <w:rPr>
                <w:sz w:val="20"/>
                <w:szCs w:val="20"/>
                <w:color w:val="auto"/>
              </w:rPr>
            </w:pPr>
            <w:r>
              <w:rPr>
                <w:rFonts w:ascii="Arial" w:cs="Arial" w:eastAsia="Arial" w:hAnsi="Arial"/>
                <w:sz w:val="16"/>
                <w:szCs w:val="16"/>
                <w:color w:val="auto"/>
              </w:rPr>
              <w:t>(3,253)</w:t>
            </w:r>
          </w:p>
        </w:tc>
        <w:tc>
          <w:tcPr>
            <w:tcW w:w="1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162"/>
              <w:spacing w:after="0" w:line="163" w:lineRule="exact"/>
              <w:rPr>
                <w:sz w:val="20"/>
                <w:szCs w:val="20"/>
                <w:color w:val="auto"/>
              </w:rPr>
            </w:pPr>
            <w:r>
              <w:rPr>
                <w:rFonts w:ascii="Arial" w:cs="Arial" w:eastAsia="Arial" w:hAnsi="Arial"/>
                <w:sz w:val="16"/>
                <w:szCs w:val="16"/>
                <w:color w:val="auto"/>
              </w:rPr>
              <w:t>(352)</w:t>
            </w:r>
          </w:p>
        </w:tc>
        <w:tc>
          <w:tcPr>
            <w:tcW w:w="12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180" w:type="dxa"/>
            <w:vAlign w:val="bottom"/>
          </w:tcPr>
          <w:p>
            <w:pPr>
              <w:jc w:val="right"/>
              <w:spacing w:after="0" w:line="163" w:lineRule="exact"/>
              <w:rPr>
                <w:sz w:val="20"/>
                <w:szCs w:val="20"/>
                <w:color w:val="auto"/>
              </w:rPr>
            </w:pPr>
            <w:r>
              <w:rPr>
                <w:rFonts w:ascii="Arial" w:cs="Arial" w:eastAsia="Arial" w:hAnsi="Arial"/>
                <w:sz w:val="16"/>
                <w:szCs w:val="16"/>
                <w:color w:val="auto"/>
              </w:rPr>
              <w:t>0</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481"/>
              <w:spacing w:after="0" w:line="163" w:lineRule="exact"/>
              <w:rPr>
                <w:sz w:val="20"/>
                <w:szCs w:val="20"/>
                <w:color w:val="auto"/>
              </w:rPr>
            </w:pPr>
            <w:r>
              <w:rPr>
                <w:rFonts w:ascii="Arial" w:cs="Arial" w:eastAsia="Arial" w:hAnsi="Arial"/>
                <w:sz w:val="16"/>
                <w:szCs w:val="16"/>
                <w:color w:val="auto"/>
              </w:rPr>
              <w:t>​</w:t>
            </w:r>
          </w:p>
        </w:tc>
        <w:tc>
          <w:tcPr>
            <w:tcW w:w="180" w:type="dxa"/>
            <w:vAlign w:val="bottom"/>
          </w:tcPr>
          <w:p>
            <w:pPr>
              <w:ind w:left="100"/>
              <w:spacing w:after="0" w:line="163" w:lineRule="exact"/>
              <w:rPr>
                <w:sz w:val="20"/>
                <w:szCs w:val="20"/>
                <w:color w:val="auto"/>
              </w:rPr>
            </w:pPr>
            <w:r>
              <w:rPr>
                <w:rFonts w:ascii="Arial" w:cs="Arial" w:eastAsia="Arial" w:hAnsi="Arial"/>
                <w:sz w:val="15"/>
                <w:szCs w:val="15"/>
                <w:color w:val="auto"/>
                <w:w w:val="71"/>
              </w:rPr>
              <w:t>0</w:t>
            </w:r>
          </w:p>
        </w:tc>
        <w:tc>
          <w:tcPr>
            <w:tcW w:w="340" w:type="dxa"/>
            <w:vAlign w:val="bottom"/>
            <w:vMerge w:val="restart"/>
          </w:tcPr>
          <w:p>
            <w:pPr>
              <w:jc w:val="center"/>
              <w:spacing w:after="0"/>
              <w:rPr>
                <w:sz w:val="20"/>
                <w:szCs w:val="20"/>
                <w:color w:val="auto"/>
              </w:rPr>
            </w:pPr>
            <w:r>
              <w:rPr>
                <w:rFonts w:ascii="Arial" w:cs="Arial" w:eastAsia="Arial" w:hAnsi="Arial"/>
                <w:sz w:val="16"/>
                <w:szCs w:val="16"/>
                <w:color w:val="auto"/>
              </w:rPr>
              <w:t>​​ ​​</w:t>
            </w:r>
          </w:p>
        </w:tc>
        <w:tc>
          <w:tcPr>
            <w:tcW w:w="800" w:type="dxa"/>
            <w:vAlign w:val="bottom"/>
            <w:gridSpan w:val="3"/>
          </w:tcPr>
          <w:p>
            <w:pPr>
              <w:spacing w:after="0" w:line="163" w:lineRule="exact"/>
              <w:rPr>
                <w:sz w:val="20"/>
                <w:szCs w:val="20"/>
                <w:color w:val="auto"/>
              </w:rPr>
            </w:pPr>
            <w:r>
              <w:rPr>
                <w:rFonts w:ascii="Arial" w:cs="Arial" w:eastAsia="Arial" w:hAnsi="Arial"/>
                <w:sz w:val="16"/>
                <w:szCs w:val="16"/>
                <w:color w:val="auto"/>
              </w:rPr>
              <w:t>​ 1,540,857</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20" w:type="dxa"/>
            <w:vAlign w:val="bottom"/>
            <w:tcBorders>
              <w:bottom w:val="single" w:sz="8" w:color="auto"/>
            </w:tcBorders>
            <w:vMerge w:val="continue"/>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spacing w:after="0" w:line="81" w:lineRule="exact"/>
              <w:rPr>
                <w:sz w:val="20"/>
                <w:szCs w:val="20"/>
                <w:color w:val="auto"/>
              </w:rPr>
            </w:pPr>
            <w:r>
              <w:rPr>
                <w:rFonts w:ascii="Arial" w:cs="Arial" w:eastAsia="Arial" w:hAnsi="Arial"/>
                <w:sz w:val="9"/>
                <w:szCs w:val="9"/>
                <w:color w:val="auto"/>
              </w:rPr>
              <w:t>​​ ​​</w:t>
            </w: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spacing w:after="0" w:line="81" w:lineRule="exact"/>
              <w:rPr>
                <w:sz w:val="20"/>
                <w:szCs w:val="20"/>
                <w:color w:val="auto"/>
              </w:rPr>
            </w:pPr>
            <w:r>
              <w:rPr>
                <w:rFonts w:ascii="Arial" w:cs="Arial" w:eastAsia="Arial" w:hAnsi="Arial"/>
                <w:sz w:val="9"/>
                <w:szCs w:val="9"/>
                <w:color w:val="auto"/>
              </w:rPr>
              <w:t>​​ ​​</w:t>
            </w: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20" w:type="dxa"/>
            <w:vAlign w:val="bottom"/>
            <w:shd w:val="clear" w:color="auto" w:fill="E5E5E5"/>
          </w:tcPr>
          <w:p>
            <w:pPr>
              <w:spacing w:after="0"/>
              <w:rPr>
                <w:sz w:val="16"/>
                <w:szCs w:val="16"/>
                <w:color w:val="auto"/>
              </w:rPr>
            </w:pPr>
          </w:p>
        </w:tc>
        <w:tc>
          <w:tcPr>
            <w:tcW w:w="3740" w:type="dxa"/>
            <w:vAlign w:val="bottom"/>
            <w:shd w:val="clear" w:color="auto" w:fill="E5E5E5"/>
          </w:tcPr>
          <w:p>
            <w:pPr>
              <w:spacing w:after="0"/>
              <w:rPr>
                <w:sz w:val="20"/>
                <w:szCs w:val="20"/>
                <w:color w:val="auto"/>
              </w:rPr>
            </w:pPr>
            <w:r>
              <w:rPr>
                <w:rFonts w:ascii="Arial" w:cs="Arial" w:eastAsia="Arial" w:hAnsi="Arial"/>
                <w:sz w:val="16"/>
                <w:szCs w:val="16"/>
                <w:color w:val="auto"/>
              </w:rPr>
              <w:t>Year over Year Change in Fair Value of Equity</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740" w:type="dxa"/>
            <w:vAlign w:val="bottom"/>
            <w:shd w:val="clear" w:color="auto" w:fill="E5E5E5"/>
          </w:tcPr>
          <w:p>
            <w:pPr>
              <w:spacing w:after="0" w:line="163" w:lineRule="exact"/>
              <w:rPr>
                <w:sz w:val="20"/>
                <w:szCs w:val="20"/>
                <w:color w:val="auto"/>
              </w:rPr>
            </w:pPr>
            <w:r>
              <w:rPr>
                <w:rFonts w:ascii="Arial" w:cs="Arial" w:eastAsia="Arial" w:hAnsi="Arial"/>
                <w:sz w:val="16"/>
                <w:szCs w:val="16"/>
                <w:color w:val="auto"/>
                <w:w w:val="98"/>
              </w:rPr>
              <w:t>Awards Granted in Prior Year that Vested in the Year</w:t>
            </w:r>
          </w:p>
        </w:tc>
        <w:tc>
          <w:tcPr>
            <w:tcW w:w="30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 ​​</w:t>
            </w:r>
          </w:p>
        </w:tc>
        <w:tc>
          <w:tcPr>
            <w:tcW w:w="14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E5E5E5"/>
          </w:tcPr>
          <w:p>
            <w:pPr>
              <w:jc w:val="right"/>
              <w:spacing w:after="0" w:line="163" w:lineRule="exact"/>
              <w:rPr>
                <w:sz w:val="20"/>
                <w:szCs w:val="20"/>
                <w:color w:val="auto"/>
              </w:rPr>
            </w:pPr>
            <w:r>
              <w:rPr>
                <w:rFonts w:ascii="Arial" w:cs="Arial" w:eastAsia="Arial" w:hAnsi="Arial"/>
                <w:sz w:val="16"/>
                <w:szCs w:val="16"/>
                <w:color w:val="auto"/>
              </w:rPr>
              <w:t>1,241</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w:t>
            </w:r>
          </w:p>
        </w:tc>
        <w:tc>
          <w:tcPr>
            <w:tcW w:w="940" w:type="dxa"/>
            <w:vAlign w:val="bottom"/>
            <w:gridSpan w:val="3"/>
            <w:shd w:val="clear" w:color="auto" w:fill="E5E5E5"/>
          </w:tcPr>
          <w:p>
            <w:pPr>
              <w:jc w:val="right"/>
              <w:ind w:right="162"/>
              <w:spacing w:after="0" w:line="163" w:lineRule="exact"/>
              <w:rPr>
                <w:sz w:val="20"/>
                <w:szCs w:val="20"/>
                <w:color w:val="auto"/>
              </w:rPr>
            </w:pPr>
            <w:r>
              <w:rPr>
                <w:rFonts w:ascii="Arial" w:cs="Arial" w:eastAsia="Arial" w:hAnsi="Arial"/>
                <w:sz w:val="16"/>
                <w:szCs w:val="16"/>
                <w:color w:val="auto"/>
              </w:rPr>
              <w:t>(138)</w:t>
            </w:r>
          </w:p>
        </w:tc>
        <w:tc>
          <w:tcPr>
            <w:tcW w:w="12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w:t>
            </w:r>
          </w:p>
        </w:tc>
        <w:tc>
          <w:tcPr>
            <w:tcW w:w="960" w:type="dxa"/>
            <w:vAlign w:val="bottom"/>
            <w:gridSpan w:val="3"/>
            <w:shd w:val="clear" w:color="auto" w:fill="E5E5E5"/>
          </w:tcPr>
          <w:p>
            <w:pPr>
              <w:jc w:val="right"/>
              <w:ind w:right="162"/>
              <w:spacing w:after="0" w:line="163" w:lineRule="exact"/>
              <w:rPr>
                <w:sz w:val="20"/>
                <w:szCs w:val="20"/>
                <w:color w:val="auto"/>
              </w:rPr>
            </w:pPr>
            <w:r>
              <w:rPr>
                <w:rFonts w:ascii="Arial" w:cs="Arial" w:eastAsia="Arial" w:hAnsi="Arial"/>
                <w:sz w:val="16"/>
                <w:szCs w:val="16"/>
                <w:color w:val="auto"/>
              </w:rPr>
              <w:t>(132,472)</w:t>
            </w:r>
          </w:p>
        </w:tc>
        <w:tc>
          <w:tcPr>
            <w:tcW w:w="620" w:type="dxa"/>
            <w:vAlign w:val="bottom"/>
            <w:shd w:val="clear" w:color="auto" w:fill="E5E5E5"/>
          </w:tcPr>
          <w:p>
            <w:pPr>
              <w:jc w:val="right"/>
              <w:ind w:right="481"/>
              <w:spacing w:after="0" w:line="163" w:lineRule="exact"/>
              <w:rPr>
                <w:sz w:val="20"/>
                <w:szCs w:val="20"/>
                <w:color w:val="auto"/>
              </w:rPr>
            </w:pPr>
            <w:r>
              <w:rPr>
                <w:rFonts w:ascii="Arial" w:cs="Arial" w:eastAsia="Arial" w:hAnsi="Arial"/>
                <w:sz w:val="16"/>
                <w:szCs w:val="16"/>
                <w:color w:val="auto"/>
              </w:rPr>
              <w:t>​</w:t>
            </w:r>
          </w:p>
        </w:tc>
        <w:tc>
          <w:tcPr>
            <w:tcW w:w="180" w:type="dxa"/>
            <w:vAlign w:val="bottom"/>
            <w:shd w:val="clear" w:color="auto" w:fill="E5E5E5"/>
          </w:tcPr>
          <w:p>
            <w:pPr>
              <w:ind w:left="100"/>
              <w:spacing w:after="0" w:line="163" w:lineRule="exact"/>
              <w:rPr>
                <w:sz w:val="20"/>
                <w:szCs w:val="20"/>
                <w:color w:val="auto"/>
              </w:rPr>
            </w:pPr>
            <w:r>
              <w:rPr>
                <w:rFonts w:ascii="Arial" w:cs="Arial" w:eastAsia="Arial" w:hAnsi="Arial"/>
                <w:sz w:val="15"/>
                <w:szCs w:val="15"/>
                <w:color w:val="auto"/>
                <w:w w:val="71"/>
              </w:rPr>
              <w:t>0</w:t>
            </w:r>
          </w:p>
        </w:tc>
        <w:tc>
          <w:tcPr>
            <w:tcW w:w="3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 ​​</w:t>
            </w:r>
          </w:p>
        </w:tc>
        <w:tc>
          <w:tcPr>
            <w:tcW w:w="60" w:type="dxa"/>
            <w:vAlign w:val="bottom"/>
            <w:shd w:val="clear" w:color="auto" w:fill="E5E5E5"/>
          </w:tcPr>
          <w:p>
            <w:pPr>
              <w:spacing w:after="0" w:line="16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E5E5E5"/>
          </w:tcPr>
          <w:p>
            <w:pPr>
              <w:jc w:val="right"/>
              <w:spacing w:after="0" w:line="163" w:lineRule="exact"/>
              <w:rPr>
                <w:sz w:val="20"/>
                <w:szCs w:val="20"/>
                <w:color w:val="auto"/>
              </w:rPr>
            </w:pPr>
            <w:r>
              <w:rPr>
                <w:rFonts w:ascii="Arial" w:cs="Arial" w:eastAsia="Arial" w:hAnsi="Arial"/>
                <w:sz w:val="16"/>
                <w:szCs w:val="16"/>
                <w:color w:val="auto"/>
              </w:rPr>
              <w:t>661,723</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20" w:type="dxa"/>
            <w:vAlign w:val="bottom"/>
            <w:tcBorders>
              <w:bottom w:val="single" w:sz="8" w:color="auto"/>
            </w:tcBorders>
            <w:vMerge w:val="continue"/>
            <w:shd w:val="clear" w:color="auto" w:fill="E5E5E5"/>
          </w:tcPr>
          <w:p>
            <w:pPr>
              <w:spacing w:after="0"/>
              <w:rPr>
                <w:sz w:val="7"/>
                <w:szCs w:val="7"/>
                <w:color w:val="auto"/>
              </w:rPr>
            </w:pPr>
          </w:p>
        </w:tc>
        <w:tc>
          <w:tcPr>
            <w:tcW w:w="3740" w:type="dxa"/>
            <w:vAlign w:val="bottom"/>
            <w:tcBorders>
              <w:bottom w:val="single" w:sz="8" w:color="auto"/>
            </w:tcBorders>
            <w:shd w:val="clear" w:color="auto" w:fill="E5E5E5"/>
          </w:tcPr>
          <w:p>
            <w:pPr>
              <w:spacing w:after="0"/>
              <w:rPr>
                <w:sz w:val="7"/>
                <w:szCs w:val="7"/>
                <w:color w:val="auto"/>
              </w:rPr>
            </w:pPr>
          </w:p>
        </w:tc>
        <w:tc>
          <w:tcPr>
            <w:tcW w:w="300" w:type="dxa"/>
            <w:vAlign w:val="bottom"/>
            <w:tcBorders>
              <w:bottom w:val="single" w:sz="8" w:color="auto"/>
            </w:tcBorders>
            <w:gridSpan w:val="2"/>
            <w:vMerge w:val="continue"/>
            <w:shd w:val="clear" w:color="auto" w:fill="E5E5E5"/>
          </w:tcPr>
          <w:p>
            <w:pPr>
              <w:spacing w:after="0"/>
              <w:rPr>
                <w:sz w:val="7"/>
                <w:szCs w:val="7"/>
                <w:color w:val="auto"/>
              </w:rPr>
            </w:pPr>
          </w:p>
        </w:tc>
        <w:tc>
          <w:tcPr>
            <w:tcW w:w="140" w:type="dxa"/>
            <w:vAlign w:val="bottom"/>
            <w:tcBorders>
              <w:bottom w:val="single" w:sz="8" w:color="auto"/>
            </w:tcBorders>
            <w:shd w:val="clear" w:color="auto" w:fill="E5E5E5"/>
          </w:tcPr>
          <w:p>
            <w:pPr>
              <w:spacing w:after="0"/>
              <w:rPr>
                <w:sz w:val="7"/>
                <w:szCs w:val="7"/>
                <w:color w:val="auto"/>
              </w:rPr>
            </w:pPr>
          </w:p>
        </w:tc>
        <w:tc>
          <w:tcPr>
            <w:tcW w:w="460" w:type="dxa"/>
            <w:vAlign w:val="bottom"/>
            <w:tcBorders>
              <w:bottom w:val="single" w:sz="8" w:color="auto"/>
            </w:tcBorders>
            <w:shd w:val="clear" w:color="auto" w:fill="E5E5E5"/>
          </w:tcPr>
          <w:p>
            <w:pPr>
              <w:spacing w:after="0"/>
              <w:rPr>
                <w:sz w:val="7"/>
                <w:szCs w:val="7"/>
                <w:color w:val="auto"/>
              </w:rPr>
            </w:pPr>
          </w:p>
        </w:tc>
        <w:tc>
          <w:tcPr>
            <w:tcW w:w="16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vMerge w:val="continue"/>
            <w:shd w:val="clear" w:color="auto" w:fill="E5E5E5"/>
          </w:tcPr>
          <w:p>
            <w:pPr>
              <w:spacing w:after="0"/>
              <w:rPr>
                <w:sz w:val="7"/>
                <w:szCs w:val="7"/>
                <w:color w:val="auto"/>
              </w:rPr>
            </w:pPr>
          </w:p>
        </w:tc>
        <w:tc>
          <w:tcPr>
            <w:tcW w:w="140" w:type="dxa"/>
            <w:vAlign w:val="bottom"/>
            <w:tcBorders>
              <w:bottom w:val="single" w:sz="8" w:color="auto"/>
            </w:tcBorders>
            <w:shd w:val="clear" w:color="auto" w:fill="E5E5E5"/>
          </w:tcPr>
          <w:p>
            <w:pPr>
              <w:spacing w:after="0"/>
              <w:rPr>
                <w:sz w:val="7"/>
                <w:szCs w:val="7"/>
                <w:color w:val="auto"/>
              </w:rPr>
            </w:pPr>
          </w:p>
        </w:tc>
        <w:tc>
          <w:tcPr>
            <w:tcW w:w="46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 ​​</w:t>
            </w:r>
          </w:p>
        </w:tc>
        <w:tc>
          <w:tcPr>
            <w:tcW w:w="120" w:type="dxa"/>
            <w:vAlign w:val="bottom"/>
            <w:tcBorders>
              <w:bottom w:val="single" w:sz="8" w:color="auto"/>
            </w:tcBorders>
            <w:shd w:val="clear" w:color="auto" w:fill="E5E5E5"/>
          </w:tcPr>
          <w:p>
            <w:pPr>
              <w:spacing w:after="0"/>
              <w:rPr>
                <w:sz w:val="7"/>
                <w:szCs w:val="7"/>
                <w:color w:val="auto"/>
              </w:rPr>
            </w:pPr>
          </w:p>
        </w:tc>
        <w:tc>
          <w:tcPr>
            <w:tcW w:w="50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 ​​</w:t>
            </w:r>
          </w:p>
        </w:tc>
        <w:tc>
          <w:tcPr>
            <w:tcW w:w="6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340" w:type="dxa"/>
            <w:vAlign w:val="bottom"/>
            <w:tcBorders>
              <w:bottom w:val="single" w:sz="8" w:color="auto"/>
            </w:tcBorders>
            <w:vMerge w:val="continue"/>
            <w:shd w:val="clear" w:color="auto" w:fill="E5E5E5"/>
          </w:tcPr>
          <w:p>
            <w:pPr>
              <w:spacing w:after="0"/>
              <w:rPr>
                <w:sz w:val="7"/>
                <w:szCs w:val="7"/>
                <w:color w:val="auto"/>
              </w:rPr>
            </w:pPr>
          </w:p>
        </w:tc>
        <w:tc>
          <w:tcPr>
            <w:tcW w:w="60" w:type="dxa"/>
            <w:vAlign w:val="bottom"/>
            <w:tcBorders>
              <w:bottom w:val="single" w:sz="8" w:color="auto"/>
            </w:tcBorders>
            <w:shd w:val="clear" w:color="auto" w:fill="E5E5E5"/>
          </w:tcPr>
          <w:p>
            <w:pPr>
              <w:spacing w:after="0"/>
              <w:rPr>
                <w:sz w:val="7"/>
                <w:szCs w:val="7"/>
                <w:color w:val="auto"/>
              </w:rPr>
            </w:pPr>
          </w:p>
        </w:tc>
        <w:tc>
          <w:tcPr>
            <w:tcW w:w="54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shd w:val="clear" w:color="auto" w:fill="E5E5E5"/>
          </w:tcPr>
          <w:p>
            <w:pPr>
              <w:spacing w:after="0"/>
              <w:rPr>
                <w:sz w:val="7"/>
                <w:szCs w:val="7"/>
                <w:color w:val="auto"/>
              </w:rPr>
            </w:pPr>
          </w:p>
        </w:tc>
        <w:tc>
          <w:tcPr>
            <w:tcW w:w="100" w:type="dxa"/>
            <w:vAlign w:val="bottom"/>
            <w:tcBorders>
              <w:bottom w:val="single" w:sz="8" w:color="auto"/>
            </w:tcBorders>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Fair Value as of Vesting Date of Equity Awards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​Granted and Vested in the year</w:t>
            </w:r>
          </w:p>
        </w:tc>
        <w:tc>
          <w:tcPr>
            <w:tcW w:w="4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 ​​ ​</w:t>
            </w:r>
          </w:p>
        </w:tc>
        <w:tc>
          <w:tcPr>
            <w:tcW w:w="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 ​​ ​</w:t>
            </w:r>
          </w:p>
        </w:tc>
        <w:tc>
          <w:tcPr>
            <w:tcW w:w="4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 ​​ ​</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6"/>
                <w:szCs w:val="16"/>
                <w:color w:val="auto"/>
              </w:rPr>
              <w:t>0​​ ​​ ​</w:t>
            </w: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0​​ ​​ ​</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549,073​​</w:t>
            </w:r>
          </w:p>
        </w:tc>
        <w:tc>
          <w:tcPr>
            <w:tcW w:w="0" w:type="dxa"/>
            <w:vAlign w:val="bottom"/>
          </w:tcPr>
          <w:p>
            <w:pPr>
              <w:spacing w:after="0"/>
              <w:rPr>
                <w:sz w:val="1"/>
                <w:szCs w:val="1"/>
                <w:color w:val="auto"/>
              </w:rPr>
            </w:pPr>
          </w:p>
        </w:tc>
      </w:tr>
      <w:tr>
        <w:trPr>
          <w:trHeight w:val="196"/>
        </w:trPr>
        <w:tc>
          <w:tcPr>
            <w:tcW w:w="120" w:type="dxa"/>
            <w:vAlign w:val="bottom"/>
            <w:shd w:val="clear" w:color="auto" w:fill="E5E5E5"/>
          </w:tcPr>
          <w:p>
            <w:pPr>
              <w:spacing w:after="0"/>
              <w:rPr>
                <w:sz w:val="17"/>
                <w:szCs w:val="17"/>
                <w:color w:val="auto"/>
              </w:rPr>
            </w:pPr>
          </w:p>
        </w:tc>
        <w:tc>
          <w:tcPr>
            <w:tcW w:w="3740" w:type="dxa"/>
            <w:vAlign w:val="bottom"/>
            <w:shd w:val="clear" w:color="auto" w:fill="E5E5E5"/>
          </w:tcPr>
          <w:p>
            <w:pPr>
              <w:spacing w:after="0"/>
              <w:rPr>
                <w:sz w:val="20"/>
                <w:szCs w:val="20"/>
                <w:color w:val="auto"/>
              </w:rPr>
            </w:pPr>
            <w:r>
              <w:rPr>
                <w:rFonts w:ascii="Arial" w:cs="Arial" w:eastAsia="Arial" w:hAnsi="Arial"/>
                <w:sz w:val="16"/>
                <w:szCs w:val="16"/>
                <w:color w:val="auto"/>
              </w:rPr>
              <w:t>Fair Value at the End of the Prior Year of Equity</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E5E5E5"/>
          </w:tcPr>
          <w:p>
            <w:pPr>
              <w:spacing w:after="0"/>
              <w:rPr>
                <w:sz w:val="17"/>
                <w:szCs w:val="17"/>
                <w:color w:val="auto"/>
              </w:rPr>
            </w:pPr>
          </w:p>
        </w:tc>
        <w:tc>
          <w:tcPr>
            <w:tcW w:w="3740" w:type="dxa"/>
            <w:vAlign w:val="bottom"/>
            <w:shd w:val="clear" w:color="auto" w:fill="E5E5E5"/>
          </w:tcPr>
          <w:p>
            <w:pPr>
              <w:spacing w:after="0"/>
              <w:rPr>
                <w:sz w:val="20"/>
                <w:szCs w:val="20"/>
                <w:color w:val="auto"/>
              </w:rPr>
            </w:pPr>
            <w:r>
              <w:rPr>
                <w:rFonts w:ascii="Arial" w:cs="Arial" w:eastAsia="Arial" w:hAnsi="Arial"/>
                <w:sz w:val="16"/>
                <w:szCs w:val="16"/>
                <w:color w:val="auto"/>
              </w:rPr>
              <w:t>Awards that Failed to Meet Vesting Conditions in the</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w:t>
            </w:r>
          </w:p>
        </w:tc>
        <w:tc>
          <w:tcPr>
            <w:tcW w:w="3740" w:type="dxa"/>
            <w:vAlign w:val="bottom"/>
            <w:shd w:val="clear" w:color="auto" w:fill="E5E5E5"/>
          </w:tcPr>
          <w:p>
            <w:pPr>
              <w:spacing w:after="0" w:line="163" w:lineRule="exact"/>
              <w:rPr>
                <w:sz w:val="20"/>
                <w:szCs w:val="20"/>
                <w:color w:val="auto"/>
              </w:rPr>
            </w:pPr>
            <w:r>
              <w:rPr>
                <w:rFonts w:ascii="Arial" w:cs="Arial" w:eastAsia="Arial" w:hAnsi="Arial"/>
                <w:sz w:val="16"/>
                <w:szCs w:val="16"/>
                <w:color w:val="auto"/>
              </w:rPr>
              <w:t>Year</w:t>
            </w:r>
          </w:p>
        </w:tc>
        <w:tc>
          <w:tcPr>
            <w:tcW w:w="30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 ​​</w:t>
            </w:r>
          </w:p>
        </w:tc>
        <w:tc>
          <w:tcPr>
            <w:tcW w:w="14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color w:val="auto"/>
              </w:rPr>
              <w:t>​</w:t>
            </w:r>
          </w:p>
        </w:tc>
        <w:tc>
          <w:tcPr>
            <w:tcW w:w="460" w:type="dxa"/>
            <w:vAlign w:val="bottom"/>
            <w:shd w:val="clear" w:color="auto" w:fill="E5E5E5"/>
          </w:tcPr>
          <w:p>
            <w:pPr>
              <w:spacing w:after="0"/>
              <w:rPr>
                <w:sz w:val="14"/>
                <w:szCs w:val="14"/>
                <w:color w:val="auto"/>
              </w:rPr>
            </w:pPr>
          </w:p>
        </w:tc>
        <w:tc>
          <w:tcPr>
            <w:tcW w:w="16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0</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w:t>
            </w:r>
          </w:p>
        </w:tc>
        <w:tc>
          <w:tcPr>
            <w:tcW w:w="460" w:type="dxa"/>
            <w:vAlign w:val="bottom"/>
            <w:shd w:val="clear" w:color="auto" w:fill="E5E5E5"/>
          </w:tcPr>
          <w:p>
            <w:pPr>
              <w:spacing w:after="0"/>
              <w:rPr>
                <w:sz w:val="14"/>
                <w:szCs w:val="14"/>
                <w:color w:val="auto"/>
              </w:rPr>
            </w:pPr>
          </w:p>
        </w:tc>
        <w:tc>
          <w:tcPr>
            <w:tcW w:w="20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0</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w:t>
            </w:r>
          </w:p>
        </w:tc>
        <w:tc>
          <w:tcPr>
            <w:tcW w:w="960" w:type="dxa"/>
            <w:vAlign w:val="bottom"/>
            <w:gridSpan w:val="3"/>
            <w:shd w:val="clear" w:color="auto" w:fill="E5E5E5"/>
          </w:tcPr>
          <w:p>
            <w:pPr>
              <w:jc w:val="right"/>
              <w:ind w:right="162"/>
              <w:spacing w:after="0" w:line="163" w:lineRule="exact"/>
              <w:rPr>
                <w:sz w:val="20"/>
                <w:szCs w:val="20"/>
                <w:color w:val="auto"/>
              </w:rPr>
            </w:pPr>
            <w:r>
              <w:rPr>
                <w:rFonts w:ascii="Arial" w:cs="Arial" w:eastAsia="Arial" w:hAnsi="Arial"/>
                <w:sz w:val="16"/>
                <w:szCs w:val="16"/>
                <w:color w:val="auto"/>
              </w:rPr>
              <w:t>(770,375)</w:t>
            </w:r>
          </w:p>
        </w:tc>
        <w:tc>
          <w:tcPr>
            <w:tcW w:w="620" w:type="dxa"/>
            <w:vAlign w:val="bottom"/>
            <w:shd w:val="clear" w:color="auto" w:fill="E5E5E5"/>
          </w:tcPr>
          <w:p>
            <w:pPr>
              <w:jc w:val="right"/>
              <w:ind w:right="481"/>
              <w:spacing w:after="0" w:line="163" w:lineRule="exact"/>
              <w:rPr>
                <w:sz w:val="20"/>
                <w:szCs w:val="20"/>
                <w:color w:val="auto"/>
              </w:rPr>
            </w:pPr>
            <w:r>
              <w:rPr>
                <w:rFonts w:ascii="Arial" w:cs="Arial" w:eastAsia="Arial" w:hAnsi="Arial"/>
                <w:sz w:val="16"/>
                <w:szCs w:val="16"/>
                <w:color w:val="auto"/>
              </w:rPr>
              <w:t>​</w:t>
            </w:r>
          </w:p>
        </w:tc>
        <w:tc>
          <w:tcPr>
            <w:tcW w:w="180" w:type="dxa"/>
            <w:vAlign w:val="bottom"/>
            <w:shd w:val="clear" w:color="auto" w:fill="E5E5E5"/>
          </w:tcPr>
          <w:p>
            <w:pPr>
              <w:ind w:left="100"/>
              <w:spacing w:after="0" w:line="163" w:lineRule="exact"/>
              <w:rPr>
                <w:sz w:val="20"/>
                <w:szCs w:val="20"/>
                <w:color w:val="auto"/>
              </w:rPr>
            </w:pPr>
            <w:r>
              <w:rPr>
                <w:rFonts w:ascii="Arial" w:cs="Arial" w:eastAsia="Arial" w:hAnsi="Arial"/>
                <w:sz w:val="15"/>
                <w:szCs w:val="15"/>
                <w:color w:val="auto"/>
                <w:w w:val="71"/>
              </w:rPr>
              <w:t>0</w:t>
            </w:r>
          </w:p>
        </w:tc>
        <w:tc>
          <w:tcPr>
            <w:tcW w:w="3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 ​​</w:t>
            </w:r>
          </w:p>
        </w:tc>
        <w:tc>
          <w:tcPr>
            <w:tcW w:w="60" w:type="dxa"/>
            <w:vAlign w:val="bottom"/>
            <w:shd w:val="clear" w:color="auto" w:fill="E5E5E5"/>
          </w:tcPr>
          <w:p>
            <w:pPr>
              <w:spacing w:after="0" w:line="163" w:lineRule="exact"/>
              <w:rPr>
                <w:sz w:val="20"/>
                <w:szCs w:val="20"/>
                <w:color w:val="auto"/>
              </w:rPr>
            </w:pPr>
            <w:r>
              <w:rPr>
                <w:rFonts w:ascii="Arial" w:cs="Arial" w:eastAsia="Arial" w:hAnsi="Arial"/>
                <w:sz w:val="16"/>
                <w:szCs w:val="16"/>
                <w:color w:val="auto"/>
              </w:rPr>
              <w:t>​</w:t>
            </w:r>
          </w:p>
        </w:tc>
        <w:tc>
          <w:tcPr>
            <w:tcW w:w="540" w:type="dxa"/>
            <w:vAlign w:val="bottom"/>
            <w:shd w:val="clear" w:color="auto" w:fill="E5E5E5"/>
          </w:tcPr>
          <w:p>
            <w:pPr>
              <w:spacing w:after="0"/>
              <w:rPr>
                <w:sz w:val="14"/>
                <w:szCs w:val="14"/>
                <w:color w:val="auto"/>
              </w:rPr>
            </w:pPr>
          </w:p>
        </w:tc>
        <w:tc>
          <w:tcPr>
            <w:tcW w:w="200" w:type="dxa"/>
            <w:vAlign w:val="bottom"/>
            <w:shd w:val="clear" w:color="auto" w:fill="E5E5E5"/>
          </w:tcPr>
          <w:p>
            <w:pPr>
              <w:jc w:val="right"/>
              <w:spacing w:after="0" w:line="163" w:lineRule="exact"/>
              <w:rPr>
                <w:sz w:val="20"/>
                <w:szCs w:val="20"/>
                <w:color w:val="auto"/>
              </w:rPr>
            </w:pPr>
            <w:r>
              <w:rPr>
                <w:rFonts w:ascii="Arial" w:cs="Arial" w:eastAsia="Arial" w:hAnsi="Arial"/>
                <w:sz w:val="16"/>
                <w:szCs w:val="16"/>
                <w:color w:val="auto"/>
              </w:rPr>
              <w:t>0</w:t>
            </w:r>
          </w:p>
        </w:tc>
        <w:tc>
          <w:tcPr>
            <w:tcW w:w="10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20" w:type="dxa"/>
            <w:vAlign w:val="bottom"/>
            <w:tcBorders>
              <w:bottom w:val="single" w:sz="8" w:color="auto"/>
            </w:tcBorders>
            <w:vMerge w:val="continue"/>
            <w:shd w:val="clear" w:color="auto" w:fill="E5E5E5"/>
          </w:tcPr>
          <w:p>
            <w:pPr>
              <w:spacing w:after="0"/>
              <w:rPr>
                <w:sz w:val="7"/>
                <w:szCs w:val="7"/>
                <w:color w:val="auto"/>
              </w:rPr>
            </w:pPr>
          </w:p>
        </w:tc>
        <w:tc>
          <w:tcPr>
            <w:tcW w:w="3740" w:type="dxa"/>
            <w:vAlign w:val="bottom"/>
            <w:tcBorders>
              <w:bottom w:val="single" w:sz="8" w:color="auto"/>
            </w:tcBorders>
            <w:shd w:val="clear" w:color="auto" w:fill="E5E5E5"/>
          </w:tcPr>
          <w:p>
            <w:pPr>
              <w:spacing w:after="0"/>
              <w:rPr>
                <w:sz w:val="7"/>
                <w:szCs w:val="7"/>
                <w:color w:val="auto"/>
              </w:rPr>
            </w:pPr>
          </w:p>
        </w:tc>
        <w:tc>
          <w:tcPr>
            <w:tcW w:w="300" w:type="dxa"/>
            <w:vAlign w:val="bottom"/>
            <w:tcBorders>
              <w:bottom w:val="single" w:sz="8" w:color="auto"/>
            </w:tcBorders>
            <w:gridSpan w:val="2"/>
            <w:vMerge w:val="continue"/>
            <w:shd w:val="clear" w:color="auto" w:fill="E5E5E5"/>
          </w:tcPr>
          <w:p>
            <w:pPr>
              <w:spacing w:after="0"/>
              <w:rPr>
                <w:sz w:val="7"/>
                <w:szCs w:val="7"/>
                <w:color w:val="auto"/>
              </w:rPr>
            </w:pPr>
          </w:p>
        </w:tc>
        <w:tc>
          <w:tcPr>
            <w:tcW w:w="140" w:type="dxa"/>
            <w:vAlign w:val="bottom"/>
            <w:tcBorders>
              <w:bottom w:val="single" w:sz="8" w:color="auto"/>
            </w:tcBorders>
            <w:shd w:val="clear" w:color="auto" w:fill="E5E5E5"/>
          </w:tcPr>
          <w:p>
            <w:pPr>
              <w:spacing w:after="0"/>
              <w:rPr>
                <w:sz w:val="7"/>
                <w:szCs w:val="7"/>
                <w:color w:val="auto"/>
              </w:rPr>
            </w:pPr>
          </w:p>
        </w:tc>
        <w:tc>
          <w:tcPr>
            <w:tcW w:w="460" w:type="dxa"/>
            <w:vAlign w:val="bottom"/>
            <w:tcBorders>
              <w:bottom w:val="single" w:sz="8" w:color="auto"/>
            </w:tcBorders>
            <w:shd w:val="clear" w:color="auto" w:fill="E5E5E5"/>
          </w:tcPr>
          <w:p>
            <w:pPr>
              <w:spacing w:after="0"/>
              <w:rPr>
                <w:sz w:val="7"/>
                <w:szCs w:val="7"/>
                <w:color w:val="auto"/>
              </w:rPr>
            </w:pPr>
          </w:p>
        </w:tc>
        <w:tc>
          <w:tcPr>
            <w:tcW w:w="16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vMerge w:val="continue"/>
            <w:shd w:val="clear" w:color="auto" w:fill="E5E5E5"/>
          </w:tcPr>
          <w:p>
            <w:pPr>
              <w:spacing w:after="0"/>
              <w:rPr>
                <w:sz w:val="7"/>
                <w:szCs w:val="7"/>
                <w:color w:val="auto"/>
              </w:rPr>
            </w:pPr>
          </w:p>
        </w:tc>
        <w:tc>
          <w:tcPr>
            <w:tcW w:w="140" w:type="dxa"/>
            <w:vAlign w:val="bottom"/>
            <w:tcBorders>
              <w:bottom w:val="single" w:sz="8" w:color="auto"/>
            </w:tcBorders>
            <w:shd w:val="clear" w:color="auto" w:fill="E5E5E5"/>
          </w:tcPr>
          <w:p>
            <w:pPr>
              <w:spacing w:after="0"/>
              <w:rPr>
                <w:sz w:val="7"/>
                <w:szCs w:val="7"/>
                <w:color w:val="auto"/>
              </w:rPr>
            </w:pPr>
          </w:p>
        </w:tc>
        <w:tc>
          <w:tcPr>
            <w:tcW w:w="46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vMerge w:val="continue"/>
            <w:shd w:val="clear" w:color="auto" w:fill="E5E5E5"/>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50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280" w:type="dxa"/>
            <w:vAlign w:val="bottom"/>
            <w:tcBorders>
              <w:bottom w:val="single" w:sz="8" w:color="auto"/>
            </w:tcBorders>
            <w:shd w:val="clear" w:color="auto" w:fill="E5E5E5"/>
          </w:tcPr>
          <w:p>
            <w:pPr>
              <w:jc w:val="right"/>
              <w:spacing w:after="0" w:line="81" w:lineRule="exact"/>
              <w:rPr>
                <w:sz w:val="20"/>
                <w:szCs w:val="20"/>
                <w:color w:val="auto"/>
              </w:rPr>
            </w:pPr>
            <w:r>
              <w:rPr>
                <w:rFonts w:ascii="Arial" w:cs="Arial" w:eastAsia="Arial" w:hAnsi="Arial"/>
                <w:sz w:val="9"/>
                <w:szCs w:val="9"/>
                <w:color w:val="auto"/>
              </w:rPr>
              <w:t>​​ ​​</w:t>
            </w:r>
          </w:p>
        </w:tc>
        <w:tc>
          <w:tcPr>
            <w:tcW w:w="620" w:type="dxa"/>
            <w:vAlign w:val="bottom"/>
            <w:tcBorders>
              <w:bottom w:val="single" w:sz="8" w:color="auto"/>
            </w:tcBorders>
            <w:shd w:val="clear" w:color="auto" w:fill="E5E5E5"/>
          </w:tcPr>
          <w:p>
            <w:pPr>
              <w:spacing w:after="0"/>
              <w:rPr>
                <w:sz w:val="7"/>
                <w:szCs w:val="7"/>
                <w:color w:val="auto"/>
              </w:rPr>
            </w:pPr>
          </w:p>
        </w:tc>
        <w:tc>
          <w:tcPr>
            <w:tcW w:w="180" w:type="dxa"/>
            <w:vAlign w:val="bottom"/>
            <w:tcBorders>
              <w:bottom w:val="single" w:sz="8" w:color="auto"/>
            </w:tcBorders>
            <w:shd w:val="clear" w:color="auto" w:fill="E5E5E5"/>
          </w:tcPr>
          <w:p>
            <w:pPr>
              <w:spacing w:after="0"/>
              <w:rPr>
                <w:sz w:val="7"/>
                <w:szCs w:val="7"/>
                <w:color w:val="auto"/>
              </w:rPr>
            </w:pPr>
          </w:p>
        </w:tc>
        <w:tc>
          <w:tcPr>
            <w:tcW w:w="340" w:type="dxa"/>
            <w:vAlign w:val="bottom"/>
            <w:tcBorders>
              <w:bottom w:val="single" w:sz="8" w:color="auto"/>
            </w:tcBorders>
            <w:vMerge w:val="continue"/>
            <w:shd w:val="clear" w:color="auto" w:fill="E5E5E5"/>
          </w:tcPr>
          <w:p>
            <w:pPr>
              <w:spacing w:after="0"/>
              <w:rPr>
                <w:sz w:val="7"/>
                <w:szCs w:val="7"/>
                <w:color w:val="auto"/>
              </w:rPr>
            </w:pPr>
          </w:p>
        </w:tc>
        <w:tc>
          <w:tcPr>
            <w:tcW w:w="60" w:type="dxa"/>
            <w:vAlign w:val="bottom"/>
            <w:tcBorders>
              <w:bottom w:val="single" w:sz="8" w:color="auto"/>
            </w:tcBorders>
            <w:shd w:val="clear" w:color="auto" w:fill="E5E5E5"/>
          </w:tcPr>
          <w:p>
            <w:pPr>
              <w:spacing w:after="0"/>
              <w:rPr>
                <w:sz w:val="7"/>
                <w:szCs w:val="7"/>
                <w:color w:val="auto"/>
              </w:rPr>
            </w:pPr>
          </w:p>
        </w:tc>
        <w:tc>
          <w:tcPr>
            <w:tcW w:w="540" w:type="dxa"/>
            <w:vAlign w:val="bottom"/>
            <w:tcBorders>
              <w:bottom w:val="single" w:sz="8" w:color="auto"/>
            </w:tcBorders>
            <w:shd w:val="clear" w:color="auto" w:fill="E5E5E5"/>
          </w:tcPr>
          <w:p>
            <w:pPr>
              <w:spacing w:after="0"/>
              <w:rPr>
                <w:sz w:val="7"/>
                <w:szCs w:val="7"/>
                <w:color w:val="auto"/>
              </w:rPr>
            </w:pPr>
          </w:p>
        </w:tc>
        <w:tc>
          <w:tcPr>
            <w:tcW w:w="200" w:type="dxa"/>
            <w:vAlign w:val="bottom"/>
            <w:tcBorders>
              <w:bottom w:val="single" w:sz="8" w:color="auto"/>
            </w:tcBorders>
            <w:shd w:val="clear" w:color="auto" w:fill="E5E5E5"/>
          </w:tcPr>
          <w:p>
            <w:pPr>
              <w:spacing w:after="0"/>
              <w:rPr>
                <w:sz w:val="7"/>
                <w:szCs w:val="7"/>
                <w:color w:val="auto"/>
              </w:rPr>
            </w:pPr>
          </w:p>
        </w:tc>
        <w:tc>
          <w:tcPr>
            <w:tcW w:w="100" w:type="dxa"/>
            <w:vAlign w:val="bottom"/>
            <w:tcBorders>
              <w:bottom w:val="single" w:sz="8" w:color="auto"/>
            </w:tcBorders>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Average Value of Dividends or other Earnings Paid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on Stock or Option Awards not Otherwise Reflected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​in Fair Value of Total Compensation</w:t>
            </w:r>
          </w:p>
        </w:tc>
        <w:tc>
          <w:tcPr>
            <w:tcW w:w="4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 ​​ ​</w:t>
            </w:r>
          </w:p>
        </w:tc>
        <w:tc>
          <w:tcPr>
            <w:tcW w:w="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 ​​ ​</w:t>
            </w:r>
          </w:p>
        </w:tc>
        <w:tc>
          <w:tcPr>
            <w:tcW w:w="4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 ​​ ​</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6"/>
                <w:szCs w:val="16"/>
                <w:color w:val="auto"/>
              </w:rPr>
              <w:t>0​​ ​​ ​</w:t>
            </w: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0​​ ​​ ​</w:t>
            </w: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8"/>
        </w:trPr>
        <w:tc>
          <w:tcPr>
            <w:tcW w:w="3860" w:type="dxa"/>
            <w:vAlign w:val="bottom"/>
            <w:tcBorders>
              <w:bottom w:val="single" w:sz="8" w:color="auto"/>
            </w:tcBorders>
            <w:gridSpan w:val="2"/>
            <w:shd w:val="clear" w:color="auto" w:fill="E5E5E5"/>
          </w:tcPr>
          <w:p>
            <w:pPr>
              <w:ind w:left="60"/>
              <w:spacing w:after="0"/>
              <w:rPr>
                <w:sz w:val="20"/>
                <w:szCs w:val="20"/>
                <w:color w:val="auto"/>
              </w:rPr>
            </w:pPr>
            <w:r>
              <w:rPr>
                <w:rFonts w:ascii="Arial" w:cs="Arial" w:eastAsia="Arial" w:hAnsi="Arial"/>
                <w:sz w:val="16"/>
                <w:szCs w:val="16"/>
                <w:color w:val="auto"/>
              </w:rPr>
              <w:t>​CAP</w:t>
            </w:r>
          </w:p>
        </w:tc>
        <w:tc>
          <w:tcPr>
            <w:tcW w:w="5540" w:type="dxa"/>
            <w:vAlign w:val="bottom"/>
            <w:tcBorders>
              <w:bottom w:val="single" w:sz="8" w:color="auto"/>
            </w:tcBorders>
            <w:gridSpan w:val="21"/>
            <w:shd w:val="clear" w:color="auto" w:fill="E5E5E5"/>
          </w:tcPr>
          <w:p>
            <w:pPr>
              <w:jc w:val="right"/>
              <w:spacing w:after="0"/>
              <w:rPr>
                <w:sz w:val="20"/>
                <w:szCs w:val="20"/>
                <w:color w:val="auto"/>
              </w:rPr>
            </w:pPr>
            <w:r>
              <w:rPr>
                <w:rFonts w:ascii="Arial" w:cs="Arial" w:eastAsia="Arial" w:hAnsi="Arial"/>
                <w:sz w:val="16"/>
                <w:szCs w:val="16"/>
                <w:color w:val="auto"/>
              </w:rPr>
              <w:t>​ ​​$3,327,359​​ ​​$ 2,650,330​​ ​​$ 3,028,813​​ ​​$ 4,503,031​​ ​​$11,235,687​​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80" w:right="700"/>
        <w:spacing w:after="0" w:line="304" w:lineRule="auto"/>
        <w:rPr>
          <w:sz w:val="20"/>
          <w:szCs w:val="20"/>
          <w:color w:val="auto"/>
        </w:rPr>
      </w:pPr>
      <w:r>
        <w:rPr>
          <w:rFonts w:ascii="Arial" w:cs="Arial" w:eastAsia="Arial" w:hAnsi="Arial"/>
          <w:sz w:val="16"/>
          <w:szCs w:val="16"/>
          <w:color w:val="auto"/>
        </w:rPr>
        <w:t>The equity awards included above consist of PSUs, RSUs and stock options granted from 2017 through 2025. The following assumptions underpin the fair value calculations.</w:t>
      </w:r>
    </w:p>
    <w:p>
      <w:pPr>
        <w:spacing w:after="0" w:line="128" w:lineRule="exact"/>
        <w:rPr>
          <w:sz w:val="20"/>
          <w:szCs w:val="20"/>
          <w:color w:val="auto"/>
        </w:rPr>
      </w:pPr>
    </w:p>
    <w:p>
      <w:pPr>
        <w:ind w:left="680" w:right="200"/>
        <w:spacing w:after="0" w:line="304" w:lineRule="auto"/>
        <w:rPr>
          <w:sz w:val="20"/>
          <w:szCs w:val="20"/>
          <w:color w:val="auto"/>
        </w:rPr>
      </w:pPr>
      <w:r>
        <w:rPr>
          <w:rFonts w:ascii="Arial" w:cs="Arial" w:eastAsia="Arial" w:hAnsi="Arial"/>
          <w:sz w:val="16"/>
          <w:szCs w:val="16"/>
          <w:color w:val="auto"/>
        </w:rPr>
        <w:t>Fair values for PSUs subject to market-based measures such as Relative TSR have been calculated using a Monte Carlo valuation model.</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CAP and Financial Performance Measures</w:t>
      </w:r>
    </w:p>
    <w:p>
      <w:pPr>
        <w:spacing w:after="0" w:line="122" w:lineRule="exact"/>
        <w:rPr>
          <w:sz w:val="20"/>
          <w:szCs w:val="20"/>
          <w:color w:val="auto"/>
        </w:rPr>
      </w:pPr>
    </w:p>
    <w:p>
      <w:pPr>
        <w:ind w:left="680" w:right="80"/>
        <w:spacing w:after="0" w:line="283" w:lineRule="auto"/>
        <w:rPr>
          <w:sz w:val="20"/>
          <w:szCs w:val="20"/>
          <w:color w:val="auto"/>
        </w:rPr>
      </w:pPr>
      <w:r>
        <w:rPr>
          <w:rFonts w:ascii="Arial" w:cs="Arial" w:eastAsia="Arial" w:hAnsi="Arial"/>
          <w:sz w:val="16"/>
          <w:szCs w:val="16"/>
          <w:color w:val="auto"/>
        </w:rPr>
        <w:t>In accordance with SEC rules, the following are graphical comparisons of CAP and the financial performance measures, net income and consolidated net sales, shown in the pay versus performance table. The Company believes that there would not be a meaningful comparison in showing CAP compared to TSR or TSR comparisons to a peer group given that TSR is only determinable for the period from June 17, 2022 through December 30, 2022, between the Company’s two sets of bankruptcy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​46 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00514B"/>
        </w:rPr>
        <w:t>CEO compensation actually paid versus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103505</wp:posOffset>
            </wp:positionV>
            <wp:extent cx="5734685" cy="32575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3468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00514B"/>
        </w:rPr>
        <w:t>Other NEO compensation actually paid versus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111760</wp:posOffset>
            </wp:positionV>
            <wp:extent cx="5734685" cy="32575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3468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47</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00514B"/>
        </w:rPr>
        <w:t>CEO compensation actually paid versus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103505</wp:posOffset>
            </wp:positionV>
            <wp:extent cx="5734685" cy="32575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3468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514B"/>
        </w:rPr>
        <w:t>Other NEO compensation actually paid versus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111760</wp:posOffset>
            </wp:positionV>
            <wp:extent cx="5734685" cy="32575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3468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​48 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560"/>
        <w:spacing w:after="0"/>
        <w:rPr>
          <w:sz w:val="20"/>
          <w:szCs w:val="20"/>
          <w:color w:val="auto"/>
        </w:rPr>
      </w:pPr>
      <w:r>
        <w:rPr>
          <w:rFonts w:ascii="Arial" w:cs="Arial" w:eastAsia="Arial" w:hAnsi="Arial"/>
          <w:sz w:val="13"/>
          <w:szCs w:val="13"/>
          <w:color w:val="323232"/>
        </w:rPr>
        <w:t>Executive Compensation</w:t>
      </w:r>
    </w:p>
    <w:p>
      <w:pPr>
        <w:spacing w:after="0" w:line="200" w:lineRule="exact"/>
        <w:rPr>
          <w:sz w:val="20"/>
          <w:szCs w:val="20"/>
          <w:color w:val="auto"/>
        </w:rPr>
      </w:pP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List of Company Performance Measures</w:t>
      </w:r>
    </w:p>
    <w:p>
      <w:pPr>
        <w:spacing w:after="0" w:line="122" w:lineRule="exact"/>
        <w:rPr>
          <w:sz w:val="20"/>
          <w:szCs w:val="20"/>
          <w:color w:val="auto"/>
        </w:rPr>
      </w:pPr>
    </w:p>
    <w:p>
      <w:pPr>
        <w:ind w:left="680" w:right="40"/>
        <w:spacing w:after="0" w:line="275" w:lineRule="auto"/>
        <w:rPr>
          <w:sz w:val="20"/>
          <w:szCs w:val="20"/>
          <w:color w:val="auto"/>
        </w:rPr>
      </w:pPr>
      <w:r>
        <w:rPr>
          <w:rFonts w:ascii="Arial" w:cs="Arial" w:eastAsia="Arial" w:hAnsi="Arial"/>
          <w:sz w:val="16"/>
          <w:szCs w:val="16"/>
          <w:color w:val="auto"/>
        </w:rPr>
        <w:t>The following table lists the measures we believe are most important in linking compensation actually paid to Company performance during fiscal 2025 (unranked). For further details on these measures and how they feature in our compensation plans, see the section entitled “Compensation Discussion and Analysis — Fiscal 2025 Executive Compensation.”</w:t>
      </w:r>
    </w:p>
    <w:p>
      <w:pPr>
        <w:spacing w:after="0" w:line="172"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2820" w:type="dxa"/>
            <w:vAlign w:val="bottom"/>
            <w:tcBorders>
              <w:top w:val="single" w:sz="8" w:color="auto"/>
              <w:left w:val="single" w:sz="8" w:color="auto"/>
              <w:bottom w:val="single" w:sz="8" w:color="auto"/>
            </w:tcBorders>
            <w:shd w:val="clear" w:color="auto" w:fill="B2EEDE"/>
          </w:tcPr>
          <w:p>
            <w:pPr>
              <w:ind w:left="20"/>
              <w:spacing w:after="0" w:line="25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Measure:</w:t>
            </w:r>
          </w:p>
        </w:tc>
        <w:tc>
          <w:tcPr>
            <w:tcW w:w="760" w:type="dxa"/>
            <w:vAlign w:val="bottom"/>
            <w:tcBorders>
              <w:top w:val="single" w:sz="8" w:color="auto"/>
              <w:bottom w:val="single" w:sz="8" w:color="auto"/>
              <w:right w:val="single" w:sz="8" w:color="auto"/>
            </w:tcBorders>
            <w:shd w:val="clear" w:color="auto" w:fill="B2EEDE"/>
          </w:tcPr>
          <w:p>
            <w:pPr>
              <w:ind w:left="640"/>
              <w:spacing w:after="0"/>
              <w:rPr>
                <w:sz w:val="20"/>
                <w:szCs w:val="20"/>
                <w:color w:val="auto"/>
              </w:rPr>
            </w:pPr>
            <w:r>
              <w:rPr>
                <w:rFonts w:ascii="Arial" w:cs="Arial" w:eastAsia="Arial" w:hAnsi="Arial"/>
                <w:sz w:val="14"/>
                <w:szCs w:val="14"/>
                <w:b w:val="1"/>
                <w:bCs w:val="1"/>
                <w:color w:val="auto"/>
              </w:rPr>
              <w:t>​</w:t>
            </w:r>
          </w:p>
        </w:tc>
      </w:tr>
      <w:tr>
        <w:trPr>
          <w:trHeight w:val="237"/>
        </w:trPr>
        <w:tc>
          <w:tcPr>
            <w:tcW w:w="2820" w:type="dxa"/>
            <w:vAlign w:val="bottom"/>
            <w:tcBorders>
              <w:left w:val="single" w:sz="8" w:color="auto"/>
              <w:bottom w:val="single" w:sz="8" w:color="auto"/>
            </w:tcBorders>
          </w:tcPr>
          <w:p>
            <w:pPr>
              <w:ind w:left="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Consolidated net sales</w:t>
            </w:r>
          </w:p>
        </w:tc>
        <w:tc>
          <w:tcPr>
            <w:tcW w:w="7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6"/>
                <w:szCs w:val="16"/>
                <w:color w:val="auto"/>
              </w:rPr>
              <w:t>​</w:t>
            </w:r>
          </w:p>
        </w:tc>
      </w:tr>
      <w:tr>
        <w:trPr>
          <w:trHeight w:val="236"/>
        </w:trPr>
        <w:tc>
          <w:tcPr>
            <w:tcW w:w="2820" w:type="dxa"/>
            <w:vAlign w:val="bottom"/>
            <w:tcBorders>
              <w:left w:val="single" w:sz="8" w:color="auto"/>
              <w:bottom w:val="single" w:sz="8" w:color="auto"/>
            </w:tcBorders>
            <w:shd w:val="clear" w:color="auto" w:fill="E5E5E5"/>
          </w:tcPr>
          <w:p>
            <w:pPr>
              <w:ind w:left="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Adjusted EBITDA</w:t>
            </w:r>
          </w:p>
        </w:tc>
        <w:tc>
          <w:tcPr>
            <w:tcW w:w="760" w:type="dxa"/>
            <w:vAlign w:val="bottom"/>
            <w:tcBorders>
              <w:bottom w:val="single" w:sz="8" w:color="auto"/>
              <w:right w:val="single" w:sz="8" w:color="auto"/>
            </w:tcBorders>
            <w:shd w:val="clear" w:color="auto" w:fill="E5E5E5"/>
          </w:tcPr>
          <w:p>
            <w:pPr>
              <w:ind w:left="640"/>
              <w:spacing w:after="0"/>
              <w:rPr>
                <w:sz w:val="20"/>
                <w:szCs w:val="20"/>
                <w:color w:val="auto"/>
              </w:rPr>
            </w:pPr>
            <w:r>
              <w:rPr>
                <w:rFonts w:ascii="Arial" w:cs="Arial" w:eastAsia="Arial" w:hAnsi="Arial"/>
                <w:sz w:val="16"/>
                <w:szCs w:val="16"/>
                <w:color w:val="auto"/>
              </w:rPr>
              <w:t>​</w:t>
            </w:r>
          </w:p>
        </w:tc>
      </w:tr>
      <w:tr>
        <w:trPr>
          <w:trHeight w:val="223"/>
        </w:trPr>
        <w:tc>
          <w:tcPr>
            <w:tcW w:w="282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Adjusted operating cash flow</w:t>
            </w:r>
          </w:p>
        </w:tc>
        <w:tc>
          <w:tcPr>
            <w:tcW w:w="7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49</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Security Ownership and Reporting</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Security Ownership and Reporting</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Security Ownership of Management and Certain Beneficial Owners</w:t>
      </w:r>
    </w:p>
    <w:p>
      <w:pPr>
        <w:spacing w:after="0" w:line="126" w:lineRule="exact"/>
        <w:rPr>
          <w:sz w:val="20"/>
          <w:szCs w:val="20"/>
          <w:color w:val="auto"/>
        </w:rPr>
      </w:pPr>
    </w:p>
    <w:p>
      <w:pPr>
        <w:ind w:left="680" w:right="60"/>
        <w:spacing w:after="0" w:line="265" w:lineRule="auto"/>
        <w:rPr>
          <w:sz w:val="20"/>
          <w:szCs w:val="20"/>
          <w:color w:val="auto"/>
        </w:rPr>
      </w:pPr>
      <w:r>
        <w:rPr>
          <w:rFonts w:ascii="Arial" w:cs="Arial" w:eastAsia="Arial" w:hAnsi="Arial"/>
          <w:sz w:val="16"/>
          <w:szCs w:val="16"/>
          <w:color w:val="auto"/>
        </w:rPr>
        <w:t>The following tables show the number of our ordinary shares beneficially owned as of March 23, 2026 by (i) each current director and nominee for director, each NEO named in the Summary Compensation Table and our current directors and executive officers as a group and (ii) each person who we know or have reason to believe is the beneficial owner of more than 5% of our outstanding ordinary shares, based on statements filed by such persons pursuant to Section 13(d) or 13(g) of the Exchange Act, and notices delivered to us pursuant to the Irish Companies Act.</w:t>
      </w:r>
    </w:p>
    <w:p>
      <w:pPr>
        <w:spacing w:after="0" w:line="145" w:lineRule="exact"/>
        <w:rPr>
          <w:sz w:val="20"/>
          <w:szCs w:val="20"/>
          <w:color w:val="auto"/>
        </w:rPr>
      </w:pPr>
    </w:p>
    <w:p>
      <w:pPr>
        <w:ind w:left="680" w:right="40"/>
        <w:spacing w:after="0" w:line="264" w:lineRule="auto"/>
        <w:rPr>
          <w:sz w:val="20"/>
          <w:szCs w:val="20"/>
          <w:color w:val="auto"/>
        </w:rPr>
      </w:pPr>
      <w:r>
        <w:rPr>
          <w:rFonts w:ascii="Arial" w:cs="Arial" w:eastAsia="Arial" w:hAnsi="Arial"/>
          <w:sz w:val="16"/>
          <w:szCs w:val="16"/>
          <w:color w:val="auto"/>
        </w:rPr>
        <w:t>A person is deemed to be a beneficial owner of ordinary shares if such person, either alone or with others, has the power to vote or to dispose of those ordinary shares or the right to acquire such power within 60 days of March 23, 2026. We have assumed that ordinary shares subject to stock options that by their terms are presently exercisable or exercisable within 60 days of March 23, 2026, and RSUs that by their terms have vested or vest within 60 days of March 23, 2026, are deemed to be outstanding and beneficially owned by the person holding the securities for the purpose of computing the percentage ownership of that person, but are not treated as outstanding for the purpose of computing the percentage of any other person. There were 39,581,987 ordinary shares outstanding as of March 23, 2026, and the calculations of percentage ownership below are based on such number of outstanding shares regardless of the date of the information regarding beneficial ownership reported below.</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Directors and Executive Officers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 w:type="dxa"/>
            <w:vAlign w:val="bottom"/>
            <w:shd w:val="clear" w:color="auto" w:fill="B2EEDE"/>
          </w:tcPr>
          <w:p>
            <w:pPr>
              <w:spacing w:after="0"/>
              <w:rPr>
                <w:sz w:val="17"/>
                <w:szCs w:val="17"/>
                <w:color w:val="auto"/>
              </w:rPr>
            </w:pPr>
          </w:p>
        </w:tc>
        <w:tc>
          <w:tcPr>
            <w:tcW w:w="5560" w:type="dxa"/>
            <w:vAlign w:val="bottom"/>
            <w:shd w:val="clear" w:color="auto" w:fill="B2EEDE"/>
          </w:tcPr>
          <w:p>
            <w:pPr>
              <w:spacing w:after="0"/>
              <w:rPr>
                <w:sz w:val="17"/>
                <w:szCs w:val="17"/>
                <w:color w:val="auto"/>
              </w:rPr>
            </w:pPr>
          </w:p>
        </w:tc>
        <w:tc>
          <w:tcPr>
            <w:tcW w:w="1100" w:type="dxa"/>
            <w:vAlign w:val="bottom"/>
            <w:shd w:val="clear" w:color="auto" w:fill="B2EEDE"/>
          </w:tcPr>
          <w:p>
            <w:pPr>
              <w:spacing w:after="0"/>
              <w:rPr>
                <w:sz w:val="17"/>
                <w:szCs w:val="17"/>
                <w:color w:val="auto"/>
              </w:rPr>
            </w:pPr>
          </w:p>
        </w:tc>
        <w:tc>
          <w:tcPr>
            <w:tcW w:w="138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 Keenova</w:t>
            </w:r>
          </w:p>
        </w:tc>
        <w:tc>
          <w:tcPr>
            <w:tcW w:w="240" w:type="dxa"/>
            <w:vAlign w:val="bottom"/>
            <w:shd w:val="clear" w:color="auto" w:fill="B2EEDE"/>
          </w:tcPr>
          <w:p>
            <w:pPr>
              <w:spacing w:after="0"/>
              <w:rPr>
                <w:sz w:val="17"/>
                <w:szCs w:val="17"/>
                <w:color w:val="auto"/>
              </w:rPr>
            </w:pPr>
          </w:p>
        </w:tc>
        <w:tc>
          <w:tcPr>
            <w:tcW w:w="800" w:type="dxa"/>
            <w:vAlign w:val="bottom"/>
            <w:vMerge w:val="restart"/>
            <w:shd w:val="clear" w:color="auto" w:fill="B2EEDE"/>
          </w:tcPr>
          <w:p>
            <w:pPr>
              <w:jc w:val="right"/>
              <w:spacing w:after="0"/>
              <w:rPr>
                <w:sz w:val="20"/>
                <w:szCs w:val="20"/>
                <w:color w:val="auto"/>
              </w:rPr>
            </w:pPr>
            <w:r>
              <w:rPr>
                <w:rFonts w:ascii="Arial" w:cs="Arial" w:eastAsia="Arial" w:hAnsi="Arial"/>
                <w:sz w:val="14"/>
                <w:szCs w:val="14"/>
                <w:b w:val="1"/>
                <w:bCs w:val="1"/>
                <w:color w:val="auto"/>
              </w:rPr>
              <w:t>Percentage</w:t>
            </w:r>
          </w:p>
        </w:tc>
        <w:tc>
          <w:tcPr>
            <w:tcW w:w="120" w:type="dxa"/>
            <w:vAlign w:val="bottom"/>
            <w:shd w:val="clear" w:color="auto" w:fill="B2EED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0" w:type="dxa"/>
            <w:vAlign w:val="bottom"/>
            <w:shd w:val="clear" w:color="auto" w:fill="B2EEDE"/>
          </w:tcPr>
          <w:p>
            <w:pPr>
              <w:spacing w:after="0"/>
              <w:rPr>
                <w:sz w:val="15"/>
                <w:szCs w:val="15"/>
                <w:color w:val="auto"/>
              </w:rPr>
            </w:pPr>
          </w:p>
        </w:tc>
        <w:tc>
          <w:tcPr>
            <w:tcW w:w="5560" w:type="dxa"/>
            <w:vAlign w:val="bottom"/>
            <w:shd w:val="clear" w:color="auto" w:fill="B2EEDE"/>
          </w:tcPr>
          <w:p>
            <w:pPr>
              <w:spacing w:after="0"/>
              <w:rPr>
                <w:sz w:val="15"/>
                <w:szCs w:val="15"/>
                <w:color w:val="auto"/>
              </w:rPr>
            </w:pPr>
          </w:p>
        </w:tc>
        <w:tc>
          <w:tcPr>
            <w:tcW w:w="1100" w:type="dxa"/>
            <w:vAlign w:val="bottom"/>
            <w:shd w:val="clear" w:color="auto" w:fill="B2EEDE"/>
          </w:tcPr>
          <w:p>
            <w:pPr>
              <w:spacing w:after="0"/>
              <w:rPr>
                <w:sz w:val="15"/>
                <w:szCs w:val="15"/>
                <w:color w:val="auto"/>
              </w:rPr>
            </w:pPr>
          </w:p>
        </w:tc>
        <w:tc>
          <w:tcPr>
            <w:tcW w:w="138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shd w:val="clear" w:color="auto" w:fill="B2EEDE"/>
          </w:tcPr>
          <w:p>
            <w:pPr>
              <w:spacing w:after="0"/>
              <w:rPr>
                <w:sz w:val="15"/>
                <w:szCs w:val="15"/>
                <w:color w:val="auto"/>
              </w:rPr>
            </w:pPr>
          </w:p>
        </w:tc>
        <w:tc>
          <w:tcPr>
            <w:tcW w:w="800" w:type="dxa"/>
            <w:vAlign w:val="bottom"/>
            <w:vMerge w:val="continue"/>
            <w:shd w:val="clear" w:color="auto" w:fill="B2EEDE"/>
          </w:tcPr>
          <w:p>
            <w:pPr>
              <w:spacing w:after="0"/>
              <w:rPr>
                <w:sz w:val="15"/>
                <w:szCs w:val="15"/>
                <w:color w:val="auto"/>
              </w:rPr>
            </w:pPr>
          </w:p>
        </w:tc>
        <w:tc>
          <w:tcPr>
            <w:tcW w:w="1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760" w:type="dxa"/>
            <w:vAlign w:val="bottom"/>
            <w:tcBorders>
              <w:bottom w:val="single" w:sz="8" w:color="auto"/>
            </w:tcBorders>
            <w:gridSpan w:val="2"/>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Name of Beneficial Owner</w:t>
            </w:r>
          </w:p>
        </w:tc>
        <w:tc>
          <w:tcPr>
            <w:tcW w:w="2480" w:type="dxa"/>
            <w:vAlign w:val="bottom"/>
            <w:tcBorders>
              <w:bottom w:val="single" w:sz="8" w:color="auto"/>
            </w:tcBorders>
            <w:gridSpan w:val="3"/>
            <w:shd w:val="clear" w:color="auto" w:fill="B2EEDE"/>
          </w:tcPr>
          <w:p>
            <w:pPr>
              <w:ind w:left="94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Beneficially Owned</w:t>
            </w:r>
          </w:p>
        </w:tc>
        <w:tc>
          <w:tcPr>
            <w:tcW w:w="1040" w:type="dxa"/>
            <w:vAlign w:val="bottom"/>
            <w:tcBorders>
              <w:bottom w:val="single" w:sz="8" w:color="auto"/>
            </w:tcBorders>
            <w:gridSpan w:val="2"/>
            <w:shd w:val="clear" w:color="auto" w:fill="B2EEDE"/>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Ownership</w:t>
            </w:r>
          </w:p>
        </w:tc>
        <w:tc>
          <w:tcPr>
            <w:tcW w:w="1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Non-Employee Directors</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i w:val="1"/>
                <w:iCs w:val="1"/>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i w:val="1"/>
                <w:iCs w:val="1"/>
                <w:color w:val="auto"/>
              </w:rPr>
              <w:t>​</w:t>
            </w: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i w:val="1"/>
                <w:iCs w:val="1"/>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 ​</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i w:val="1"/>
                <w:iCs w:val="1"/>
                <w:color w:val="auto"/>
              </w:rPr>
              <w:t>​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Marc Yoskowitz</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6"/>
                <w:szCs w:val="16"/>
                <w:color w:val="auto"/>
              </w:rPr>
              <w:t>7,296</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Paul M. Bisaro</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9,060</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Leslie Donato</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6"/>
                <w:szCs w:val="16"/>
                <w:color w:val="auto"/>
              </w:rPr>
              <w:t>4,882</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Katina Dorton</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7,387</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Paul Efron</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6"/>
                <w:szCs w:val="16"/>
                <w:color w:val="auto"/>
              </w:rPr>
              <w:t>14,975</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Scott Hirsch</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5,337</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Sophia Langlois</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6"/>
                <w:szCs w:val="16"/>
                <w:color w:val="auto"/>
              </w:rPr>
              <w:t>5,677</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Jonathan Zinman</w:t>
            </w:r>
            <w:r>
              <w:rPr>
                <w:rFonts w:ascii="Arial" w:cs="Arial" w:eastAsia="Arial" w:hAnsi="Arial"/>
                <w:sz w:val="19"/>
                <w:szCs w:val="19"/>
                <w:color w:val="auto"/>
                <w:vertAlign w:val="superscript"/>
              </w:rPr>
              <w:t>(1)</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12,913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gridSpan w:val="2"/>
            <w:shd w:val="clear" w:color="auto" w:fill="E5E5E5"/>
          </w:tcPr>
          <w:p>
            <w:pPr>
              <w:ind w:left="60"/>
              <w:spacing w:after="0" w:line="250" w:lineRule="exact"/>
              <w:rPr>
                <w:sz w:val="20"/>
                <w:szCs w:val="20"/>
                <w:color w:val="auto"/>
              </w:rPr>
            </w:pPr>
            <w:r>
              <w:rPr>
                <w:rFonts w:ascii="Arial" w:cs="Arial" w:eastAsia="Arial" w:hAnsi="Arial"/>
                <w:sz w:val="28"/>
                <w:szCs w:val="28"/>
                <w:b w:val="1"/>
                <w:bCs w:val="1"/>
                <w:i w:val="1"/>
                <w:iCs w:val="1"/>
                <w:color w:val="auto"/>
                <w:vertAlign w:val="subscript"/>
              </w:rPr>
              <w:t>​</w:t>
            </w:r>
            <w:r>
              <w:rPr>
                <w:rFonts w:ascii="Arial" w:cs="Arial" w:eastAsia="Arial" w:hAnsi="Arial"/>
                <w:sz w:val="15"/>
                <w:szCs w:val="15"/>
                <w:b w:val="1"/>
                <w:bCs w:val="1"/>
                <w:i w:val="1"/>
                <w:iCs w:val="1"/>
                <w:color w:val="auto"/>
              </w:rPr>
              <w:t>Named Executive Officers</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b w:val="1"/>
                <w:bCs w:val="1"/>
                <w:i w:val="1"/>
                <w:iCs w:val="1"/>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b w:val="1"/>
                <w:bCs w:val="1"/>
                <w:i w:val="1"/>
                <w:iCs w:val="1"/>
                <w:color w:val="auto"/>
              </w:rPr>
              <w:t>​</w:t>
            </w:r>
          </w:p>
        </w:tc>
        <w:tc>
          <w:tcPr>
            <w:tcW w:w="920" w:type="dxa"/>
            <w:vAlign w:val="bottom"/>
            <w:tcBorders>
              <w:bottom w:val="single" w:sz="8" w:color="auto"/>
            </w:tcBorders>
            <w:shd w:val="clear" w:color="auto" w:fill="E5E5E5"/>
          </w:tcPr>
          <w:p>
            <w:pPr>
              <w:jc w:val="right"/>
              <w:ind w:right="259"/>
              <w:spacing w:after="0"/>
              <w:rPr>
                <w:sz w:val="20"/>
                <w:szCs w:val="20"/>
                <w:color w:val="auto"/>
              </w:rPr>
            </w:pPr>
            <w:r>
              <w:rPr>
                <w:rFonts w:ascii="Arial" w:cs="Arial" w:eastAsia="Arial" w:hAnsi="Arial"/>
                <w:sz w:val="16"/>
                <w:szCs w:val="16"/>
                <w:b w:val="1"/>
                <w:bCs w:val="1"/>
                <w:i w:val="1"/>
                <w:iCs w:val="1"/>
                <w:color w:val="auto"/>
              </w:rPr>
              <w:t>​</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b w:val="1"/>
                <w:bCs w:val="1"/>
                <w:i w:val="1"/>
                <w:iCs w:val="1"/>
                <w:color w:val="auto"/>
              </w:rPr>
              <w:t>​​ ​</w:t>
            </w:r>
          </w:p>
        </w:tc>
        <w:tc>
          <w:tcPr>
            <w:tcW w:w="8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6"/>
                <w:szCs w:val="16"/>
                <w:b w:val="1"/>
                <w:bCs w:val="1"/>
                <w:i w:val="1"/>
                <w:iCs w:val="1"/>
                <w:color w:val="auto"/>
              </w:rPr>
              <w:t>​ ​</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i w:val="1"/>
                <w:iCs w:val="1"/>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Sigurdur (Siggi) O. Olafsson</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31,718</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Christiana Stamoulis</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6"/>
                <w:szCs w:val="16"/>
                <w:color w:val="auto"/>
              </w:rPr>
              <w:t>17,828</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Henriette Nielsen</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7,538</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Lisa French</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6"/>
                <w:szCs w:val="16"/>
                <w:color w:val="auto"/>
              </w:rPr>
              <w:t>8,390</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Mark A. Tyndall</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8,167</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w:t>
            </w:r>
          </w:p>
        </w:tc>
        <w:tc>
          <w:tcPr>
            <w:tcW w:w="5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Bryan M. Reasons</w:t>
            </w:r>
            <w:r>
              <w:rPr>
                <w:rFonts w:ascii="Arial" w:cs="Arial" w:eastAsia="Arial" w:hAnsi="Arial"/>
                <w:sz w:val="19"/>
                <w:szCs w:val="19"/>
                <w:color w:val="auto"/>
                <w:vertAlign w:val="superscript"/>
              </w:rPr>
              <w:t>(2)</w:t>
            </w:r>
          </w:p>
        </w:tc>
        <w:tc>
          <w:tcPr>
            <w:tcW w:w="110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6"/>
                <w:szCs w:val="16"/>
                <w:color w:val="auto"/>
              </w:rPr>
              <w:t>36,541</w:t>
            </w:r>
          </w:p>
        </w:tc>
        <w:tc>
          <w:tcPr>
            <w:tcW w:w="2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5E5E5"/>
          </w:tcPr>
          <w:p>
            <w:pPr>
              <w:ind w:left="3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5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​All current directors and executive officers as a group (19 persons)</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161,060</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40" w:hanging="368"/>
        <w:spacing w:after="0"/>
        <w:tabs>
          <w:tab w:leader="none" w:pos="10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80" w:lineRule="exact"/>
        <w:rPr>
          <w:sz w:val="20"/>
          <w:szCs w:val="20"/>
          <w:color w:val="auto"/>
        </w:rPr>
      </w:pPr>
    </w:p>
    <w:p>
      <w:pPr>
        <w:ind w:left="1040" w:hanging="368"/>
        <w:spacing w:after="0"/>
        <w:tabs>
          <w:tab w:leader="none" w:pos="10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Held indirectly through JZ Advisors LLC, a limited liability company, of which Mr. Zinman is 100% owner and managing member.</w:t>
      </w:r>
    </w:p>
    <w:p>
      <w:pPr>
        <w:spacing w:after="0" w:line="66" w:lineRule="exact"/>
        <w:rPr>
          <w:rFonts w:ascii="Arial" w:cs="Arial" w:eastAsia="Arial" w:hAnsi="Arial"/>
          <w:sz w:val="13"/>
          <w:szCs w:val="13"/>
          <w:color w:val="auto"/>
        </w:rPr>
      </w:pPr>
    </w:p>
    <w:p>
      <w:pPr>
        <w:ind w:left="1040" w:hanging="368"/>
        <w:spacing w:after="0"/>
        <w:tabs>
          <w:tab w:leader="none" w:pos="10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Mr. Reasons ceased to serve as the Company’s Chief Financial Officer as of September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​50 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000"/>
        <w:spacing w:after="0"/>
        <w:rPr>
          <w:sz w:val="20"/>
          <w:szCs w:val="20"/>
          <w:color w:val="auto"/>
        </w:rPr>
      </w:pPr>
      <w:r>
        <w:rPr>
          <w:rFonts w:ascii="Arial" w:cs="Arial" w:eastAsia="Arial" w:hAnsi="Arial"/>
          <w:sz w:val="13"/>
          <w:szCs w:val="13"/>
          <w:color w:val="323232"/>
        </w:rPr>
        <w:t>Security Ownership and Reporting</w:t>
      </w:r>
    </w:p>
    <w:p>
      <w:pPr>
        <w:spacing w:after="0" w:line="200" w:lineRule="exact"/>
        <w:rPr>
          <w:sz w:val="20"/>
          <w:szCs w:val="20"/>
          <w:color w:val="auto"/>
        </w:rPr>
      </w:pP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514B"/>
        </w:rPr>
        <w:t>Other Beneficial Owners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47"/>
        </w:trPr>
        <w:tc>
          <w:tcPr>
            <w:tcW w:w="4880" w:type="dxa"/>
            <w:vAlign w:val="bottom"/>
            <w:shd w:val="clear" w:color="auto" w:fill="B2EEDE"/>
          </w:tcPr>
          <w:p>
            <w:pPr>
              <w:spacing w:after="0"/>
              <w:rPr>
                <w:sz w:val="21"/>
                <w:szCs w:val="21"/>
                <w:color w:val="auto"/>
              </w:rPr>
            </w:pPr>
          </w:p>
        </w:tc>
        <w:tc>
          <w:tcPr>
            <w:tcW w:w="1980" w:type="dxa"/>
            <w:vAlign w:val="bottom"/>
            <w:shd w:val="clear" w:color="auto" w:fill="B2EEDE"/>
          </w:tcPr>
          <w:p>
            <w:pPr>
              <w:spacing w:after="0"/>
              <w:rPr>
                <w:sz w:val="21"/>
                <w:szCs w:val="21"/>
                <w:color w:val="auto"/>
              </w:rPr>
            </w:pPr>
          </w:p>
        </w:tc>
        <w:tc>
          <w:tcPr>
            <w:tcW w:w="13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 Keenova</w:t>
            </w:r>
          </w:p>
        </w:tc>
        <w:tc>
          <w:tcPr>
            <w:tcW w:w="240" w:type="dxa"/>
            <w:vAlign w:val="bottom"/>
            <w:shd w:val="clear" w:color="auto" w:fill="B2EEDE"/>
          </w:tcPr>
          <w:p>
            <w:pPr>
              <w:spacing w:after="0"/>
              <w:rPr>
                <w:sz w:val="21"/>
                <w:szCs w:val="21"/>
                <w:color w:val="auto"/>
              </w:rPr>
            </w:pPr>
          </w:p>
        </w:tc>
        <w:tc>
          <w:tcPr>
            <w:tcW w:w="800" w:type="dxa"/>
            <w:vAlign w:val="bottom"/>
            <w:vMerge w:val="restart"/>
            <w:shd w:val="clear" w:color="auto" w:fill="B2EEDE"/>
          </w:tcPr>
          <w:p>
            <w:pPr>
              <w:jc w:val="right"/>
              <w:spacing w:after="0"/>
              <w:rPr>
                <w:sz w:val="20"/>
                <w:szCs w:val="20"/>
                <w:color w:val="auto"/>
              </w:rPr>
            </w:pPr>
            <w:r>
              <w:rPr>
                <w:rFonts w:ascii="Arial" w:cs="Arial" w:eastAsia="Arial" w:hAnsi="Arial"/>
                <w:sz w:val="14"/>
                <w:szCs w:val="14"/>
                <w:b w:val="1"/>
                <w:bCs w:val="1"/>
                <w:color w:val="auto"/>
              </w:rPr>
              <w:t>Percentage</w:t>
            </w:r>
          </w:p>
        </w:tc>
        <w:tc>
          <w:tcPr>
            <w:tcW w:w="120" w:type="dxa"/>
            <w:vAlign w:val="bottom"/>
            <w:shd w:val="clear" w:color="auto" w:fill="B2EED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B2EEDE"/>
          </w:tcPr>
          <w:p>
            <w:pPr>
              <w:spacing w:after="0"/>
              <w:rPr>
                <w:sz w:val="15"/>
                <w:szCs w:val="15"/>
                <w:color w:val="auto"/>
              </w:rPr>
            </w:pPr>
          </w:p>
        </w:tc>
        <w:tc>
          <w:tcPr>
            <w:tcW w:w="1980" w:type="dxa"/>
            <w:vAlign w:val="bottom"/>
            <w:shd w:val="clear" w:color="auto" w:fill="B2EEDE"/>
          </w:tcPr>
          <w:p>
            <w:pPr>
              <w:spacing w:after="0"/>
              <w:rPr>
                <w:sz w:val="15"/>
                <w:szCs w:val="15"/>
                <w:color w:val="auto"/>
              </w:rPr>
            </w:pPr>
          </w:p>
        </w:tc>
        <w:tc>
          <w:tcPr>
            <w:tcW w:w="13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shd w:val="clear" w:color="auto" w:fill="B2EEDE"/>
          </w:tcPr>
          <w:p>
            <w:pPr>
              <w:spacing w:after="0"/>
              <w:rPr>
                <w:sz w:val="15"/>
                <w:szCs w:val="15"/>
                <w:color w:val="auto"/>
              </w:rPr>
            </w:pPr>
          </w:p>
        </w:tc>
        <w:tc>
          <w:tcPr>
            <w:tcW w:w="800" w:type="dxa"/>
            <w:vAlign w:val="bottom"/>
            <w:vMerge w:val="continue"/>
            <w:shd w:val="clear" w:color="auto" w:fill="B2EEDE"/>
          </w:tcPr>
          <w:p>
            <w:pPr>
              <w:spacing w:after="0"/>
              <w:rPr>
                <w:sz w:val="15"/>
                <w:szCs w:val="15"/>
                <w:color w:val="auto"/>
              </w:rPr>
            </w:pPr>
          </w:p>
        </w:tc>
        <w:tc>
          <w:tcPr>
            <w:tcW w:w="1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880" w:type="dxa"/>
            <w:vAlign w:val="bottom"/>
            <w:tcBorders>
              <w:bottom w:val="single" w:sz="8" w:color="auto"/>
            </w:tcBorders>
            <w:shd w:val="clear" w:color="auto" w:fill="B2EEDE"/>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Name and Address of Beneficial Owner</w:t>
            </w:r>
            <w:r>
              <w:rPr>
                <w:rFonts w:ascii="Arial" w:cs="Arial" w:eastAsia="Arial" w:hAnsi="Arial"/>
                <w:sz w:val="15"/>
                <w:szCs w:val="15"/>
                <w:b w:val="1"/>
                <w:bCs w:val="1"/>
                <w:color w:val="auto"/>
                <w:vertAlign w:val="superscript"/>
              </w:rPr>
              <w:t>(1)</w:t>
            </w:r>
          </w:p>
        </w:tc>
        <w:tc>
          <w:tcPr>
            <w:tcW w:w="3360" w:type="dxa"/>
            <w:vAlign w:val="bottom"/>
            <w:tcBorders>
              <w:bottom w:val="single" w:sz="8" w:color="auto"/>
            </w:tcBorders>
            <w:gridSpan w:val="2"/>
            <w:shd w:val="clear" w:color="auto" w:fill="B2EEDE"/>
          </w:tcPr>
          <w:p>
            <w:pPr>
              <w:ind w:left="182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Beneficially Owned</w:t>
            </w:r>
          </w:p>
        </w:tc>
        <w:tc>
          <w:tcPr>
            <w:tcW w:w="1040" w:type="dxa"/>
            <w:vAlign w:val="bottom"/>
            <w:tcBorders>
              <w:bottom w:val="single" w:sz="8" w:color="auto"/>
            </w:tcBorders>
            <w:gridSpan w:val="2"/>
            <w:shd w:val="clear" w:color="auto" w:fill="B2EEDE"/>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Ownership</w:t>
            </w:r>
          </w:p>
        </w:tc>
        <w:tc>
          <w:tcPr>
            <w:tcW w:w="1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4880" w:type="dxa"/>
            <w:vAlign w:val="bottom"/>
          </w:tcPr>
          <w:p>
            <w:pPr>
              <w:ind w:left="60"/>
              <w:spacing w:after="0" w:line="213"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Goldentree Asset Management LP</w:t>
            </w:r>
            <w:r>
              <w:rPr>
                <w:rFonts w:ascii="Arial" w:cs="Arial" w:eastAsia="Arial" w:hAnsi="Arial"/>
                <w:sz w:val="15"/>
                <w:szCs w:val="15"/>
                <w:color w:val="auto"/>
                <w:vertAlign w:val="superscript"/>
              </w:rPr>
              <w:t>(2)</w:t>
            </w:r>
          </w:p>
        </w:tc>
        <w:tc>
          <w:tcPr>
            <w:tcW w:w="1980" w:type="dxa"/>
            <w:vAlign w:val="bottom"/>
          </w:tcPr>
          <w:p>
            <w:pPr>
              <w:ind w:left="1820"/>
              <w:spacing w:after="0"/>
              <w:rPr>
                <w:sz w:val="20"/>
                <w:szCs w:val="20"/>
                <w:color w:val="auto"/>
              </w:rPr>
            </w:pPr>
            <w:r>
              <w:rPr>
                <w:rFonts w:ascii="Arial" w:cs="Arial" w:eastAsia="Arial" w:hAnsi="Arial"/>
                <w:sz w:val="14"/>
                <w:szCs w:val="14"/>
                <w:color w:val="auto"/>
              </w:rPr>
              <w:t>​ ​</w:t>
            </w:r>
          </w:p>
        </w:tc>
        <w:tc>
          <w:tcPr>
            <w:tcW w:w="1380" w:type="dxa"/>
            <w:vAlign w:val="bottom"/>
          </w:tcPr>
          <w:p>
            <w:pPr>
              <w:jc w:val="center"/>
              <w:spacing w:after="0"/>
              <w:rPr>
                <w:sz w:val="20"/>
                <w:szCs w:val="20"/>
                <w:color w:val="auto"/>
              </w:rPr>
            </w:pPr>
            <w:r>
              <w:rPr>
                <w:rFonts w:ascii="Arial" w:cs="Arial" w:eastAsia="Arial" w:hAnsi="Arial"/>
                <w:sz w:val="14"/>
                <w:szCs w:val="14"/>
                <w:color w:val="auto"/>
              </w:rPr>
              <w:t>​7,926,176</w:t>
            </w:r>
          </w:p>
        </w:tc>
        <w:tc>
          <w:tcPr>
            <w:tcW w:w="240" w:type="dxa"/>
            <w:vAlign w:val="bottom"/>
          </w:tcPr>
          <w:p>
            <w:pPr>
              <w:ind w:left="20"/>
              <w:spacing w:after="0"/>
              <w:rPr>
                <w:sz w:val="20"/>
                <w:szCs w:val="20"/>
                <w:color w:val="auto"/>
              </w:rPr>
            </w:pPr>
            <w:r>
              <w:rPr>
                <w:rFonts w:ascii="Arial" w:cs="Arial" w:eastAsia="Arial" w:hAnsi="Arial"/>
                <w:sz w:val="14"/>
                <w:szCs w:val="14"/>
                <w:color w:val="auto"/>
              </w:rPr>
              <w:t>​ ​ ​</w:t>
            </w:r>
          </w:p>
        </w:tc>
        <w:tc>
          <w:tcPr>
            <w:tcW w:w="800" w:type="dxa"/>
            <w:vAlign w:val="bottom"/>
          </w:tcPr>
          <w:p>
            <w:pPr>
              <w:ind w:left="200"/>
              <w:spacing w:after="0"/>
              <w:rPr>
                <w:sz w:val="20"/>
                <w:szCs w:val="20"/>
                <w:color w:val="auto"/>
              </w:rPr>
            </w:pPr>
            <w:r>
              <w:rPr>
                <w:rFonts w:ascii="Arial" w:cs="Arial" w:eastAsia="Arial" w:hAnsi="Arial"/>
                <w:sz w:val="14"/>
                <w:szCs w:val="14"/>
                <w:color w:val="auto"/>
              </w:rPr>
              <w:t>​20.02%</w:t>
            </w:r>
          </w:p>
        </w:tc>
        <w:tc>
          <w:tcPr>
            <w:tcW w:w="1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6"/>
        </w:trPr>
        <w:tc>
          <w:tcPr>
            <w:tcW w:w="4880" w:type="dxa"/>
            <w:vAlign w:val="bottom"/>
          </w:tcPr>
          <w:p>
            <w:pPr>
              <w:ind w:left="100"/>
              <w:spacing w:after="0"/>
              <w:rPr>
                <w:sz w:val="20"/>
                <w:szCs w:val="20"/>
                <w:color w:val="auto"/>
              </w:rPr>
            </w:pPr>
            <w:r>
              <w:rPr>
                <w:rFonts w:ascii="Arial" w:cs="Arial" w:eastAsia="Arial" w:hAnsi="Arial"/>
                <w:sz w:val="14"/>
                <w:szCs w:val="14"/>
                <w:color w:val="auto"/>
              </w:rPr>
              <w:t>300 Park Avenue, 21st Floor</w:t>
            </w:r>
          </w:p>
        </w:tc>
        <w:tc>
          <w:tcPr>
            <w:tcW w:w="1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00"/>
              <w:spacing w:after="0"/>
              <w:rPr>
                <w:sz w:val="20"/>
                <w:szCs w:val="20"/>
                <w:color w:val="auto"/>
              </w:rPr>
            </w:pPr>
            <w:r>
              <w:rPr>
                <w:rFonts w:ascii="Arial" w:cs="Arial" w:eastAsia="Arial" w:hAnsi="Arial"/>
                <w:sz w:val="14"/>
                <w:szCs w:val="14"/>
                <w:color w:val="auto"/>
              </w:rPr>
              <w:t>New York, NY 10022</w:t>
            </w:r>
          </w:p>
        </w:tc>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8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E5E5E5"/>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Silver Point Capital, L.P.</w:t>
            </w:r>
            <w:r>
              <w:rPr>
                <w:rFonts w:ascii="Arial" w:cs="Arial" w:eastAsia="Arial" w:hAnsi="Arial"/>
                <w:sz w:val="16"/>
                <w:szCs w:val="16"/>
                <w:color w:val="auto"/>
                <w:vertAlign w:val="superscript"/>
              </w:rPr>
              <w:t>(3)</w:t>
            </w:r>
          </w:p>
        </w:tc>
        <w:tc>
          <w:tcPr>
            <w:tcW w:w="1980" w:type="dxa"/>
            <w:vAlign w:val="bottom"/>
            <w:shd w:val="clear" w:color="auto" w:fill="E5E5E5"/>
          </w:tcPr>
          <w:p>
            <w:pPr>
              <w:ind w:left="1820"/>
              <w:spacing w:after="0"/>
              <w:rPr>
                <w:sz w:val="20"/>
                <w:szCs w:val="20"/>
                <w:color w:val="auto"/>
              </w:rPr>
            </w:pPr>
            <w:r>
              <w:rPr>
                <w:rFonts w:ascii="Arial" w:cs="Arial" w:eastAsia="Arial" w:hAnsi="Arial"/>
                <w:sz w:val="14"/>
                <w:szCs w:val="14"/>
                <w:color w:val="auto"/>
              </w:rPr>
              <w:t>​ ​</w:t>
            </w:r>
          </w:p>
        </w:tc>
        <w:tc>
          <w:tcPr>
            <w:tcW w:w="1380" w:type="dxa"/>
            <w:vAlign w:val="bottom"/>
            <w:shd w:val="clear" w:color="auto" w:fill="E5E5E5"/>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​5,637,714</w:t>
            </w:r>
          </w:p>
        </w:tc>
        <w:tc>
          <w:tcPr>
            <w:tcW w:w="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 ​ ​</w:t>
            </w:r>
          </w:p>
        </w:tc>
        <w:tc>
          <w:tcPr>
            <w:tcW w:w="800" w:type="dxa"/>
            <w:vAlign w:val="bottom"/>
            <w:shd w:val="clear" w:color="auto" w:fill="E5E5E5"/>
          </w:tcPr>
          <w:p>
            <w:pPr>
              <w:ind w:left="20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​14.24%</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5"/>
        </w:trPr>
        <w:tc>
          <w:tcPr>
            <w:tcW w:w="48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2 Greenwich Plaza, Suite 1</w:t>
            </w:r>
          </w:p>
        </w:tc>
        <w:tc>
          <w:tcPr>
            <w:tcW w:w="1980" w:type="dxa"/>
            <w:vAlign w:val="bottom"/>
            <w:shd w:val="clear" w:color="auto" w:fill="E5E5E5"/>
          </w:tcPr>
          <w:p>
            <w:pPr>
              <w:spacing w:after="0"/>
              <w:rPr>
                <w:sz w:val="15"/>
                <w:szCs w:val="15"/>
                <w:color w:val="auto"/>
              </w:rPr>
            </w:pPr>
          </w:p>
        </w:tc>
        <w:tc>
          <w:tcPr>
            <w:tcW w:w="13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Greenwich, CT 06830</w:t>
            </w:r>
          </w:p>
        </w:tc>
        <w:tc>
          <w:tcPr>
            <w:tcW w:w="198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tcBorders>
            <w:shd w:val="clear" w:color="auto" w:fill="E5E5E5"/>
          </w:tcPr>
          <w:p>
            <w:pPr>
              <w:spacing w:after="0"/>
              <w:rPr>
                <w:sz w:val="19"/>
                <w:szCs w:val="19"/>
                <w:color w:val="auto"/>
              </w:rPr>
            </w:pPr>
          </w:p>
        </w:tc>
        <w:tc>
          <w:tcPr>
            <w:tcW w:w="240" w:type="dxa"/>
            <w:vAlign w:val="bottom"/>
            <w:tcBorders>
              <w:bottom w:val="single" w:sz="8" w:color="E5E5E5"/>
            </w:tcBorders>
            <w:shd w:val="clear" w:color="auto" w:fill="E5E5E5"/>
          </w:tcPr>
          <w:p>
            <w:pPr>
              <w:spacing w:after="0"/>
              <w:rPr>
                <w:sz w:val="19"/>
                <w:szCs w:val="19"/>
                <w:color w:val="auto"/>
              </w:rPr>
            </w:pPr>
          </w:p>
        </w:tc>
        <w:tc>
          <w:tcPr>
            <w:tcW w:w="800" w:type="dxa"/>
            <w:vAlign w:val="bottom"/>
            <w:tcBorders>
              <w:bottom w:val="single" w:sz="8" w:color="E5E5E5"/>
            </w:tcBorders>
            <w:shd w:val="clear" w:color="auto" w:fill="E5E5E5"/>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Borders>
              <w:top w:val="single" w:sz="8" w:color="auto"/>
            </w:tcBorders>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Marathon Asset Management GP, L.L.C.</w:t>
            </w:r>
            <w:r>
              <w:rPr>
                <w:rFonts w:ascii="Arial" w:cs="Arial" w:eastAsia="Arial" w:hAnsi="Arial"/>
                <w:sz w:val="16"/>
                <w:szCs w:val="16"/>
                <w:color w:val="auto"/>
                <w:vertAlign w:val="superscript"/>
              </w:rPr>
              <w:t>(4)</w:t>
            </w:r>
          </w:p>
        </w:tc>
        <w:tc>
          <w:tcPr>
            <w:tcW w:w="1980" w:type="dxa"/>
            <w:vAlign w:val="bottom"/>
            <w:tcBorders>
              <w:top w:val="single" w:sz="8" w:color="auto"/>
            </w:tcBorders>
          </w:tcPr>
          <w:p>
            <w:pPr>
              <w:ind w:left="1820"/>
              <w:spacing w:after="0"/>
              <w:rPr>
                <w:sz w:val="20"/>
                <w:szCs w:val="20"/>
                <w:color w:val="auto"/>
              </w:rPr>
            </w:pPr>
            <w:r>
              <w:rPr>
                <w:rFonts w:ascii="Arial" w:cs="Arial" w:eastAsia="Arial" w:hAnsi="Arial"/>
                <w:sz w:val="14"/>
                <w:szCs w:val="14"/>
                <w:color w:val="auto"/>
              </w:rPr>
              <w:t>​ ​</w:t>
            </w:r>
          </w:p>
        </w:tc>
        <w:tc>
          <w:tcPr>
            <w:tcW w:w="1380" w:type="dxa"/>
            <w:vAlign w:val="bottom"/>
            <w:tcBorders>
              <w:top w:val="single" w:sz="8" w:color="auto"/>
            </w:tcBorders>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​3,030,311</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 ​</w:t>
            </w:r>
          </w:p>
        </w:tc>
        <w:tc>
          <w:tcPr>
            <w:tcW w:w="800" w:type="dxa"/>
            <w:vAlign w:val="bottom"/>
            <w:tcBorders>
              <w:top w:val="single" w:sz="8" w:color="auto"/>
            </w:tcBorders>
          </w:tcPr>
          <w:p>
            <w:pPr>
              <w:ind w:left="20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7.66%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6"/>
        </w:trPr>
        <w:tc>
          <w:tcPr>
            <w:tcW w:w="4880" w:type="dxa"/>
            <w:vAlign w:val="bottom"/>
          </w:tcPr>
          <w:p>
            <w:pPr>
              <w:ind w:left="100"/>
              <w:spacing w:after="0"/>
              <w:rPr>
                <w:sz w:val="20"/>
                <w:szCs w:val="20"/>
                <w:color w:val="auto"/>
              </w:rPr>
            </w:pPr>
            <w:r>
              <w:rPr>
                <w:rFonts w:ascii="Arial" w:cs="Arial" w:eastAsia="Arial" w:hAnsi="Arial"/>
                <w:sz w:val="14"/>
                <w:szCs w:val="14"/>
                <w:color w:val="auto"/>
              </w:rPr>
              <w:t>c/o Marathon Asset Management, L.P.</w:t>
            </w:r>
          </w:p>
        </w:tc>
        <w:tc>
          <w:tcPr>
            <w:tcW w:w="1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00"/>
              <w:spacing w:after="0"/>
              <w:rPr>
                <w:sz w:val="20"/>
                <w:szCs w:val="20"/>
                <w:color w:val="auto"/>
              </w:rPr>
            </w:pPr>
            <w:r>
              <w:rPr>
                <w:rFonts w:ascii="Arial" w:cs="Arial" w:eastAsia="Arial" w:hAnsi="Arial"/>
                <w:sz w:val="14"/>
                <w:szCs w:val="14"/>
                <w:color w:val="auto"/>
              </w:rPr>
              <w:t>1 Bryant Park, 38th Floor, New York, NY 10036</w:t>
            </w:r>
          </w:p>
        </w:tc>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8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E5E5E5"/>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Hein Park Capital Management LP</w:t>
            </w:r>
            <w:r>
              <w:rPr>
                <w:rFonts w:ascii="Arial" w:cs="Arial" w:eastAsia="Arial" w:hAnsi="Arial"/>
                <w:sz w:val="16"/>
                <w:szCs w:val="16"/>
                <w:color w:val="auto"/>
                <w:vertAlign w:val="superscript"/>
              </w:rPr>
              <w:t>(5)</w:t>
            </w:r>
          </w:p>
        </w:tc>
        <w:tc>
          <w:tcPr>
            <w:tcW w:w="1980" w:type="dxa"/>
            <w:vAlign w:val="bottom"/>
            <w:shd w:val="clear" w:color="auto" w:fill="E5E5E5"/>
          </w:tcPr>
          <w:p>
            <w:pPr>
              <w:ind w:left="1820"/>
              <w:spacing w:after="0"/>
              <w:rPr>
                <w:sz w:val="20"/>
                <w:szCs w:val="20"/>
                <w:color w:val="auto"/>
              </w:rPr>
            </w:pPr>
            <w:r>
              <w:rPr>
                <w:rFonts w:ascii="Arial" w:cs="Arial" w:eastAsia="Arial" w:hAnsi="Arial"/>
                <w:sz w:val="14"/>
                <w:szCs w:val="14"/>
                <w:color w:val="auto"/>
              </w:rPr>
              <w:t>​ ​</w:t>
            </w:r>
          </w:p>
        </w:tc>
        <w:tc>
          <w:tcPr>
            <w:tcW w:w="1380" w:type="dxa"/>
            <w:vAlign w:val="bottom"/>
            <w:shd w:val="clear" w:color="auto" w:fill="E5E5E5"/>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​2,146,733</w:t>
            </w:r>
          </w:p>
        </w:tc>
        <w:tc>
          <w:tcPr>
            <w:tcW w:w="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 ​ ​</w:t>
            </w:r>
          </w:p>
        </w:tc>
        <w:tc>
          <w:tcPr>
            <w:tcW w:w="800" w:type="dxa"/>
            <w:vAlign w:val="bottom"/>
            <w:shd w:val="clear" w:color="auto" w:fill="E5E5E5"/>
          </w:tcPr>
          <w:p>
            <w:pPr>
              <w:ind w:left="20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5.42%</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5"/>
        </w:trPr>
        <w:tc>
          <w:tcPr>
            <w:tcW w:w="48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888 Seventh Avenue</w:t>
            </w:r>
          </w:p>
        </w:tc>
        <w:tc>
          <w:tcPr>
            <w:tcW w:w="1980" w:type="dxa"/>
            <w:vAlign w:val="bottom"/>
            <w:shd w:val="clear" w:color="auto" w:fill="E5E5E5"/>
          </w:tcPr>
          <w:p>
            <w:pPr>
              <w:spacing w:after="0"/>
              <w:rPr>
                <w:sz w:val="15"/>
                <w:szCs w:val="15"/>
                <w:color w:val="auto"/>
              </w:rPr>
            </w:pPr>
          </w:p>
        </w:tc>
        <w:tc>
          <w:tcPr>
            <w:tcW w:w="13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41st Floor, New York, NY 10019</w:t>
            </w:r>
          </w:p>
        </w:tc>
        <w:tc>
          <w:tcPr>
            <w:tcW w:w="198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tcBorders>
            <w:shd w:val="clear" w:color="auto" w:fill="E5E5E5"/>
          </w:tcPr>
          <w:p>
            <w:pPr>
              <w:spacing w:after="0"/>
              <w:rPr>
                <w:sz w:val="19"/>
                <w:szCs w:val="19"/>
                <w:color w:val="auto"/>
              </w:rPr>
            </w:pPr>
          </w:p>
        </w:tc>
        <w:tc>
          <w:tcPr>
            <w:tcW w:w="240" w:type="dxa"/>
            <w:vAlign w:val="bottom"/>
            <w:tcBorders>
              <w:bottom w:val="single" w:sz="8" w:color="E5E5E5"/>
            </w:tcBorders>
            <w:shd w:val="clear" w:color="auto" w:fill="E5E5E5"/>
          </w:tcPr>
          <w:p>
            <w:pPr>
              <w:spacing w:after="0"/>
              <w:rPr>
                <w:sz w:val="19"/>
                <w:szCs w:val="19"/>
                <w:color w:val="auto"/>
              </w:rPr>
            </w:pPr>
          </w:p>
        </w:tc>
        <w:tc>
          <w:tcPr>
            <w:tcW w:w="800" w:type="dxa"/>
            <w:vAlign w:val="bottom"/>
            <w:tcBorders>
              <w:bottom w:val="single" w:sz="8" w:color="E5E5E5"/>
            </w:tcBorders>
            <w:shd w:val="clear" w:color="auto" w:fill="E5E5E5"/>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Borders>
              <w:top w:val="single" w:sz="8" w:color="auto"/>
            </w:tcBorders>
          </w:tcPr>
          <w:p>
            <w:pPr>
              <w:ind w:left="6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Hudson Bay Capital Management</w:t>
            </w:r>
            <w:r>
              <w:rPr>
                <w:rFonts w:ascii="Arial" w:cs="Arial" w:eastAsia="Arial" w:hAnsi="Arial"/>
                <w:sz w:val="16"/>
                <w:szCs w:val="16"/>
                <w:color w:val="auto"/>
                <w:vertAlign w:val="superscript"/>
              </w:rPr>
              <w:t>(6)</w:t>
            </w:r>
          </w:p>
        </w:tc>
        <w:tc>
          <w:tcPr>
            <w:tcW w:w="1980" w:type="dxa"/>
            <w:vAlign w:val="bottom"/>
            <w:tcBorders>
              <w:top w:val="single" w:sz="8" w:color="auto"/>
            </w:tcBorders>
          </w:tcPr>
          <w:p>
            <w:pPr>
              <w:ind w:left="1820"/>
              <w:spacing w:after="0"/>
              <w:rPr>
                <w:sz w:val="20"/>
                <w:szCs w:val="20"/>
                <w:color w:val="auto"/>
              </w:rPr>
            </w:pPr>
            <w:r>
              <w:rPr>
                <w:rFonts w:ascii="Arial" w:cs="Arial" w:eastAsia="Arial" w:hAnsi="Arial"/>
                <w:sz w:val="14"/>
                <w:szCs w:val="14"/>
                <w:color w:val="auto"/>
              </w:rPr>
              <w:t>​ ​</w:t>
            </w:r>
          </w:p>
        </w:tc>
        <w:tc>
          <w:tcPr>
            <w:tcW w:w="1380" w:type="dxa"/>
            <w:vAlign w:val="bottom"/>
            <w:tcBorders>
              <w:top w:val="single" w:sz="8" w:color="auto"/>
            </w:tcBorders>
          </w:tcPr>
          <w:p>
            <w:pPr>
              <w:jc w:val="center"/>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​2,049,739</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 ​</w:t>
            </w:r>
          </w:p>
        </w:tc>
        <w:tc>
          <w:tcPr>
            <w:tcW w:w="800" w:type="dxa"/>
            <w:vAlign w:val="bottom"/>
            <w:tcBorders>
              <w:top w:val="single" w:sz="8" w:color="auto"/>
            </w:tcBorders>
          </w:tcPr>
          <w:p>
            <w:pPr>
              <w:ind w:left="20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5.18%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6"/>
        </w:trPr>
        <w:tc>
          <w:tcPr>
            <w:tcW w:w="4880" w:type="dxa"/>
            <w:vAlign w:val="bottom"/>
          </w:tcPr>
          <w:p>
            <w:pPr>
              <w:ind w:left="100"/>
              <w:spacing w:after="0"/>
              <w:rPr>
                <w:sz w:val="20"/>
                <w:szCs w:val="20"/>
                <w:color w:val="auto"/>
              </w:rPr>
            </w:pPr>
            <w:r>
              <w:rPr>
                <w:rFonts w:ascii="Arial" w:cs="Arial" w:eastAsia="Arial" w:hAnsi="Arial"/>
                <w:sz w:val="14"/>
                <w:szCs w:val="14"/>
                <w:color w:val="auto"/>
              </w:rPr>
              <w:t>28 Havemeyer Place, 2nd Floor</w:t>
            </w:r>
          </w:p>
        </w:tc>
        <w:tc>
          <w:tcPr>
            <w:tcW w:w="1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00"/>
              <w:spacing w:after="0"/>
              <w:rPr>
                <w:sz w:val="20"/>
                <w:szCs w:val="20"/>
                <w:color w:val="auto"/>
              </w:rPr>
            </w:pPr>
            <w:r>
              <w:rPr>
                <w:rFonts w:ascii="Arial" w:cs="Arial" w:eastAsia="Arial" w:hAnsi="Arial"/>
                <w:sz w:val="14"/>
                <w:szCs w:val="14"/>
                <w:color w:val="auto"/>
              </w:rPr>
              <w:t>Greenwich, CT 06830</w:t>
            </w:r>
          </w:p>
        </w:tc>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8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040" w:right="140" w:hanging="368"/>
        <w:spacing w:after="0" w:line="259" w:lineRule="auto"/>
        <w:tabs>
          <w:tab w:leader="none" w:pos="10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information for beneficial owners is based on filings with the SEC and is not derived solely from, or necessarily reflective of, the Company’s Register of Members as of March 23, 2026. Please refer to the section entitled “Questions and Answers About Our Annual Meeting” for more information on the Company’s Register of Members and relevant rights of holders of the Company’s ordinary shares in connection with the Annual General Meeting.</w:t>
      </w:r>
    </w:p>
    <w:p>
      <w:pPr>
        <w:spacing w:after="0" w:line="42" w:lineRule="exact"/>
        <w:rPr>
          <w:rFonts w:ascii="Arial" w:cs="Arial" w:eastAsia="Arial" w:hAnsi="Arial"/>
          <w:sz w:val="13"/>
          <w:szCs w:val="13"/>
          <w:color w:val="auto"/>
        </w:rPr>
      </w:pPr>
    </w:p>
    <w:p>
      <w:pPr>
        <w:ind w:left="1040" w:right="80" w:hanging="368"/>
        <w:spacing w:after="0" w:line="270" w:lineRule="auto"/>
        <w:tabs>
          <w:tab w:leader="none" w:pos="10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Based on information contained in a Schedule 13D filed with the SEC on August 7, 2025 by Goldentree Asset Management LP, GoldenTree Asset Management LLC, and Steven A. Tananbaum, disclosing 7,906,176 shares held directly by certain funds and separate accounts managed by Goldentree Asset Management LP and 20,000 shares held directly by Mr. Tananbaum.</w:t>
      </w:r>
    </w:p>
    <w:p>
      <w:pPr>
        <w:spacing w:after="0" w:line="21" w:lineRule="exact"/>
        <w:rPr>
          <w:rFonts w:ascii="Arial" w:cs="Arial" w:eastAsia="Arial" w:hAnsi="Arial"/>
          <w:sz w:val="13"/>
          <w:szCs w:val="13"/>
          <w:color w:val="auto"/>
        </w:rPr>
      </w:pPr>
    </w:p>
    <w:p>
      <w:pPr>
        <w:ind w:left="1040" w:right="460" w:hanging="368"/>
        <w:spacing w:after="0" w:line="302" w:lineRule="auto"/>
        <w:tabs>
          <w:tab w:leader="none" w:pos="10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Based on information contained in a Schedule 13D/A filed with the SEC on April 17, 2026 by Silver Point Capital, L.P., Edward A. Mulé, and Robert O’Shea, disclosing shared voting and dispositive power with respect to 5,637,714 shares.</w:t>
      </w:r>
    </w:p>
    <w:p>
      <w:pPr>
        <w:spacing w:after="0" w:line="1" w:lineRule="exact"/>
        <w:rPr>
          <w:rFonts w:ascii="Arial" w:cs="Arial" w:eastAsia="Arial" w:hAnsi="Arial"/>
          <w:sz w:val="13"/>
          <w:szCs w:val="13"/>
          <w:color w:val="auto"/>
        </w:rPr>
      </w:pPr>
    </w:p>
    <w:p>
      <w:pPr>
        <w:ind w:left="1040" w:right="100" w:hanging="368"/>
        <w:spacing w:after="0" w:line="259" w:lineRule="auto"/>
        <w:tabs>
          <w:tab w:leader="none" w:pos="10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Based on information contained in a Schedule 13G/A filed with the SEC on November 14, 2025 by Marathon Asset Management GP, L.L.C., Marathon Asset Management, L.P., Marathon Blue Grass Credit Fund, LP, Marathon Centre Street Partnership, L.P., Marathon StepStone Master Fund LP, MCSP Sub LLC, Quaestio Alternative Funds S.C.A., SICAV-FIS: CMAB-SIF-Credit Multi Asset Pool B, TRS Credit Fund, LP, MDCF II Investment Fund A SCSp, Marathon Distressed Credit Fund, L.P., Marathon Special Opportunity Master Fund Ltd, Bruce Richards and Louis Hanover, disclosing shared voting and dispositive power with respect to 3,030,311 shares.</w:t>
      </w:r>
    </w:p>
    <w:p>
      <w:pPr>
        <w:spacing w:after="0" w:line="30" w:lineRule="exact"/>
        <w:rPr>
          <w:rFonts w:ascii="Arial" w:cs="Arial" w:eastAsia="Arial" w:hAnsi="Arial"/>
          <w:sz w:val="13"/>
          <w:szCs w:val="13"/>
          <w:color w:val="auto"/>
        </w:rPr>
      </w:pPr>
    </w:p>
    <w:p>
      <w:pPr>
        <w:ind w:left="1040" w:right="100" w:hanging="368"/>
        <w:spacing w:after="0" w:line="270" w:lineRule="auto"/>
        <w:tabs>
          <w:tab w:leader="none" w:pos="10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Based on information contained in a Schedule 13G/A filed with the SEC on February 11, 2026 by Hudson Bay Capital Management LP, as an investment advisor, and Sander Gerber, as the managing member of the general partner of Hudson Bay Capital Management LP, disclosing shared voting and dispositive power with respect to 2,049,739 ordinary shares.</w:t>
      </w:r>
    </w:p>
    <w:p>
      <w:pPr>
        <w:spacing w:after="0" w:line="35" w:lineRule="exact"/>
        <w:rPr>
          <w:rFonts w:ascii="Arial" w:cs="Arial" w:eastAsia="Arial" w:hAnsi="Arial"/>
          <w:sz w:val="13"/>
          <w:szCs w:val="13"/>
          <w:color w:val="auto"/>
        </w:rPr>
      </w:pPr>
    </w:p>
    <w:p>
      <w:pPr>
        <w:ind w:left="1040" w:right="320" w:hanging="368"/>
        <w:spacing w:after="0" w:line="281" w:lineRule="auto"/>
        <w:tabs>
          <w:tab w:leader="none" w:pos="10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Based on information contained in a Schedule 13G filed with the SEC on February 13, 2026 by Hein Park Capital Management LP, Hein Park Capital Management GP LLC and Courtney W. Carson, disclosing shared voting and dispositive power with respect to 2,146,733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51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Audit and Audit Committee Matters</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Audit and Audit Committee Matters</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Audit and Non-Audit Fees</w:t>
      </w:r>
    </w:p>
    <w:p>
      <w:pPr>
        <w:spacing w:after="0" w:line="126" w:lineRule="exact"/>
        <w:rPr>
          <w:sz w:val="20"/>
          <w:szCs w:val="20"/>
          <w:color w:val="auto"/>
        </w:rPr>
      </w:pPr>
    </w:p>
    <w:p>
      <w:pPr>
        <w:ind w:left="680" w:right="420"/>
        <w:spacing w:after="0" w:line="286" w:lineRule="auto"/>
        <w:rPr>
          <w:sz w:val="20"/>
          <w:szCs w:val="20"/>
          <w:color w:val="auto"/>
        </w:rPr>
      </w:pPr>
      <w:r>
        <w:rPr>
          <w:rFonts w:ascii="Arial" w:cs="Arial" w:eastAsia="Arial" w:hAnsi="Arial"/>
          <w:sz w:val="16"/>
          <w:szCs w:val="16"/>
          <w:color w:val="auto"/>
        </w:rPr>
        <w:t>The following table discloses fees billed or expected to be billed by PricewaterhouseCoopers LLP for services rendered to us for fiscal 2025 and 2024.</w:t>
      </w: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322"/>
        </w:trPr>
        <w:tc>
          <w:tcPr>
            <w:tcW w:w="4320" w:type="dxa"/>
            <w:vAlign w:val="bottom"/>
            <w:tcBorders>
              <w:bottom w:val="single" w:sz="8" w:color="auto"/>
            </w:tcBorders>
            <w:shd w:val="clear" w:color="auto" w:fill="B2EEDE"/>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8"/>
                <w:szCs w:val="28"/>
                <w:b w:val="1"/>
                <w:bCs w:val="1"/>
                <w:color w:val="auto"/>
                <w:vertAlign w:val="superscript"/>
              </w:rPr>
              <w:t>​</w:t>
            </w:r>
          </w:p>
        </w:tc>
        <w:tc>
          <w:tcPr>
            <w:tcW w:w="5080" w:type="dxa"/>
            <w:vAlign w:val="bottom"/>
            <w:tcBorders>
              <w:bottom w:val="single" w:sz="8" w:color="auto"/>
            </w:tcBorders>
            <w:gridSpan w:val="3"/>
            <w:shd w:val="clear" w:color="auto" w:fill="B2EEDE"/>
          </w:tcPr>
          <w:p>
            <w:pPr>
              <w:ind w:left="28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Fiscal 2025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Fiscal 2024 </w:t>
            </w:r>
            <w:r>
              <w:rPr>
                <w:rFonts w:ascii="Arial" w:cs="Arial" w:eastAsia="Arial" w:hAnsi="Arial"/>
                <w:sz w:val="28"/>
                <w:szCs w:val="28"/>
                <w:b w:val="1"/>
                <w:bCs w:val="1"/>
                <w:color w:val="auto"/>
                <w:vertAlign w:val="subscript"/>
              </w:rPr>
              <w:t>​</w:t>
            </w:r>
          </w:p>
        </w:tc>
      </w:tr>
      <w:tr>
        <w:trPr>
          <w:trHeight w:val="250"/>
        </w:trPr>
        <w:tc>
          <w:tcPr>
            <w:tcW w:w="432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 Fees</w:t>
            </w:r>
          </w:p>
        </w:tc>
        <w:tc>
          <w:tcPr>
            <w:tcW w:w="5080" w:type="dxa"/>
            <w:vAlign w:val="bottom"/>
            <w:tcBorders>
              <w:bottom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$21,424,000</w:t>
            </w:r>
            <w:r>
              <w:rPr>
                <w:rFonts w:ascii="Arial" w:cs="Arial" w:eastAsia="Arial" w:hAnsi="Arial"/>
                <w:sz w:val="28"/>
                <w:szCs w:val="28"/>
                <w:color w:val="auto"/>
                <w:vertAlign w:val="subscript"/>
              </w:rPr>
              <w:t>​​ ​​</w:t>
            </w:r>
            <w:r>
              <w:rPr>
                <w:rFonts w:ascii="Arial" w:cs="Arial" w:eastAsia="Arial" w:hAnsi="Arial"/>
                <w:sz w:val="15"/>
                <w:szCs w:val="15"/>
                <w:color w:val="auto"/>
              </w:rPr>
              <w:t>$6,840,000</w:t>
            </w:r>
            <w:r>
              <w:rPr>
                <w:rFonts w:ascii="Arial" w:cs="Arial" w:eastAsia="Arial" w:hAnsi="Arial"/>
                <w:sz w:val="28"/>
                <w:szCs w:val="28"/>
                <w:color w:val="auto"/>
                <w:vertAlign w:val="subscript"/>
              </w:rPr>
              <w:t>​​</w:t>
            </w:r>
          </w:p>
        </w:tc>
      </w:tr>
      <w:tr>
        <w:trPr>
          <w:trHeight w:val="250"/>
        </w:trPr>
        <w:tc>
          <w:tcPr>
            <w:tcW w:w="432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Audit-Related Fees</w:t>
            </w:r>
          </w:p>
        </w:tc>
        <w:tc>
          <w:tcPr>
            <w:tcW w:w="4320" w:type="dxa"/>
            <w:vAlign w:val="bottom"/>
            <w:tcBorders>
              <w:bottom w:val="single" w:sz="8" w:color="auto"/>
            </w:tcBorders>
            <w:gridSpan w:val="2"/>
            <w:shd w:val="clear" w:color="auto" w:fill="E5E5E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$15,467,000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7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15"/>
                <w:szCs w:val="15"/>
                <w:color w:val="auto"/>
              </w:rPr>
              <w:t>172,039</w:t>
            </w:r>
            <w:r>
              <w:rPr>
                <w:rFonts w:ascii="Arial" w:cs="Arial" w:eastAsia="Arial" w:hAnsi="Arial"/>
                <w:sz w:val="28"/>
                <w:szCs w:val="28"/>
                <w:color w:val="auto"/>
                <w:vertAlign w:val="subscript"/>
              </w:rPr>
              <w:t>​​</w:t>
            </w:r>
          </w:p>
        </w:tc>
      </w:tr>
      <w:tr>
        <w:trPr>
          <w:trHeight w:val="250"/>
        </w:trPr>
        <w:tc>
          <w:tcPr>
            <w:tcW w:w="432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Tax Fees</w:t>
            </w:r>
          </w:p>
        </w:tc>
        <w:tc>
          <w:tcPr>
            <w:tcW w:w="3160" w:type="dxa"/>
            <w:vAlign w:val="bottom"/>
            <w:tcBorders>
              <w:bottom w:val="single" w:sz="8" w:color="auto"/>
            </w:tcBorders>
          </w:tcPr>
          <w:p>
            <w:pPr>
              <w:ind w:left="28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1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3,874,000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7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969,491</w:t>
            </w:r>
            <w:r>
              <w:rPr>
                <w:rFonts w:ascii="Arial" w:cs="Arial" w:eastAsia="Arial" w:hAnsi="Arial"/>
                <w:sz w:val="28"/>
                <w:szCs w:val="28"/>
                <w:color w:val="auto"/>
                <w:vertAlign w:val="subscript"/>
              </w:rPr>
              <w:t>​​</w:t>
            </w:r>
          </w:p>
        </w:tc>
      </w:tr>
      <w:tr>
        <w:trPr>
          <w:trHeight w:val="250"/>
        </w:trPr>
        <w:tc>
          <w:tcPr>
            <w:tcW w:w="432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Other Fees</w:t>
            </w:r>
          </w:p>
        </w:tc>
        <w:tc>
          <w:tcPr>
            <w:tcW w:w="3160" w:type="dxa"/>
            <w:vAlign w:val="bottom"/>
            <w:tcBorders>
              <w:bottom w:val="single" w:sz="8" w:color="auto"/>
            </w:tcBorders>
            <w:shd w:val="clear" w:color="auto" w:fill="E5E5E5"/>
          </w:tcPr>
          <w:p>
            <w:pPr>
              <w:ind w:left="28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1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15"/>
                <w:szCs w:val="15"/>
                <w:color w:val="auto"/>
              </w:rPr>
              <w:t>2,000</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760" w:type="dxa"/>
            <w:vAlign w:val="bottom"/>
            <w:tcBorders>
              <w:bottom w:val="single" w:sz="8" w:color="auto"/>
            </w:tcBorders>
            <w:shd w:val="clear" w:color="auto" w:fill="E5E5E5"/>
          </w:tcPr>
          <w:p>
            <w:pPr>
              <w:jc w:val="right"/>
              <w:spacing w:after="0" w:line="250" w:lineRule="exact"/>
              <w:rPr>
                <w:sz w:val="20"/>
                <w:szCs w:val="20"/>
                <w:color w:val="auto"/>
              </w:rPr>
            </w:pPr>
            <w:r>
              <w:rPr>
                <w:rFonts w:ascii="Arial" w:cs="Arial" w:eastAsia="Arial" w:hAnsi="Arial"/>
                <w:sz w:val="15"/>
                <w:szCs w:val="15"/>
                <w:color w:val="auto"/>
              </w:rPr>
              <w:t>57,000</w:t>
            </w:r>
            <w:r>
              <w:rPr>
                <w:rFonts w:ascii="Arial" w:cs="Arial" w:eastAsia="Arial" w:hAnsi="Arial"/>
                <w:sz w:val="28"/>
                <w:szCs w:val="28"/>
                <w:color w:val="auto"/>
                <w:vertAlign w:val="subscript"/>
              </w:rPr>
              <w:t>​​</w:t>
            </w:r>
          </w:p>
        </w:tc>
      </w:tr>
      <w:tr>
        <w:trPr>
          <w:trHeight w:val="237"/>
        </w:trPr>
        <w:tc>
          <w:tcPr>
            <w:tcW w:w="4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5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 ​​$40,767,000​​ ​​$8,038,530​​</w:t>
            </w:r>
          </w:p>
        </w:tc>
      </w:tr>
    </w:tbl>
    <w:p>
      <w:pPr>
        <w:spacing w:after="0" w:line="148" w:lineRule="exact"/>
        <w:rPr>
          <w:sz w:val="20"/>
          <w:szCs w:val="20"/>
          <w:color w:val="auto"/>
        </w:rPr>
      </w:pPr>
    </w:p>
    <w:p>
      <w:pPr>
        <w:jc w:val="both"/>
        <w:ind w:left="680" w:right="540"/>
        <w:spacing w:after="0" w:line="266"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for fiscal 2025 and 2024 include fees for professional services rendered for the year-end audits of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reviews of the financial statements included in our Quarterly Reports on Form 10-Q, statutory audits, and assistance with, and review of, documents filed with the SEC.</w:t>
      </w:r>
    </w:p>
    <w:p>
      <w:pPr>
        <w:spacing w:after="0" w:line="131" w:lineRule="exact"/>
        <w:rPr>
          <w:sz w:val="20"/>
          <w:szCs w:val="20"/>
          <w:color w:val="auto"/>
        </w:rPr>
      </w:pPr>
    </w:p>
    <w:p>
      <w:pPr>
        <w:ind w:left="680" w:right="40"/>
        <w:spacing w:after="0" w:line="28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for fiscal 2025 and 2024 include certain services performed in support of our statutory audits.</w:t>
      </w:r>
      <w:r>
        <w:rPr>
          <w:rFonts w:ascii="Arial" w:cs="Arial" w:eastAsia="Arial" w:hAnsi="Arial"/>
          <w:sz w:val="16"/>
          <w:szCs w:val="16"/>
          <w:i w:val="1"/>
          <w:iCs w:val="1"/>
          <w:color w:val="auto"/>
        </w:rPr>
        <w:t xml:space="preserve"> Audit-Related Fees </w:t>
      </w:r>
      <w:r>
        <w:rPr>
          <w:rFonts w:ascii="Arial" w:cs="Arial" w:eastAsia="Arial" w:hAnsi="Arial"/>
          <w:sz w:val="16"/>
          <w:szCs w:val="16"/>
          <w:color w:val="auto"/>
        </w:rPr>
        <w:t>for 2025 also include fees associated with carve-out audits supporting the Separation.</w:t>
      </w:r>
    </w:p>
    <w:p>
      <w:pPr>
        <w:spacing w:after="0" w:line="129" w:lineRule="exact"/>
        <w:rPr>
          <w:sz w:val="20"/>
          <w:szCs w:val="20"/>
          <w:color w:val="auto"/>
        </w:rPr>
      </w:pPr>
    </w:p>
    <w:p>
      <w:pPr>
        <w:ind w:left="680" w:right="80"/>
        <w:spacing w:after="0" w:line="286"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for fiscal 2025 and 2024 include fees for professional services rendered by our auditor for tax compliance, consultation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services.</w:t>
      </w:r>
    </w:p>
    <w:p>
      <w:pPr>
        <w:spacing w:after="0" w:line="115" w:lineRule="exact"/>
        <w:rPr>
          <w:sz w:val="20"/>
          <w:szCs w:val="20"/>
          <w:color w:val="auto"/>
        </w:rPr>
      </w:pPr>
    </w:p>
    <w:p>
      <w:pPr>
        <w:ind w:left="680" w:right="380"/>
        <w:spacing w:after="0" w:line="286"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for fiscal 2025 and 2024 include fees related to the annual purchase of accounting research software licenses.</w:t>
      </w:r>
      <w:r>
        <w:rPr>
          <w:rFonts w:ascii="Arial" w:cs="Arial" w:eastAsia="Arial" w:hAnsi="Arial"/>
          <w:sz w:val="16"/>
          <w:szCs w:val="16"/>
          <w:i w:val="1"/>
          <w:iCs w:val="1"/>
          <w:color w:val="auto"/>
        </w:rPr>
        <w:t xml:space="preserve"> All Other Fees </w:t>
      </w:r>
      <w:r>
        <w:rPr>
          <w:rFonts w:ascii="Arial" w:cs="Arial" w:eastAsia="Arial" w:hAnsi="Arial"/>
          <w:sz w:val="16"/>
          <w:szCs w:val="16"/>
          <w:color w:val="auto"/>
        </w:rPr>
        <w:t>for fiscal 2024 also include fees related to advisory services.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Policy on Audit Committee Pre-Approval of Audit and Permissible Non-Audit Services</w:t>
      </w:r>
    </w:p>
    <w:p>
      <w:pPr>
        <w:spacing w:after="0" w:line="126" w:lineRule="exact"/>
        <w:rPr>
          <w:sz w:val="20"/>
          <w:szCs w:val="20"/>
          <w:color w:val="auto"/>
        </w:rPr>
      </w:pPr>
    </w:p>
    <w:p>
      <w:pPr>
        <w:jc w:val="both"/>
        <w:ind w:left="680" w:right="200"/>
        <w:spacing w:after="0" w:line="256" w:lineRule="auto"/>
        <w:rPr>
          <w:sz w:val="20"/>
          <w:szCs w:val="20"/>
          <w:color w:val="auto"/>
        </w:rPr>
      </w:pPr>
      <w:r>
        <w:rPr>
          <w:rFonts w:ascii="Arial" w:cs="Arial" w:eastAsia="Arial" w:hAnsi="Arial"/>
          <w:sz w:val="16"/>
          <w:szCs w:val="16"/>
          <w:color w:val="auto"/>
        </w:rPr>
        <w:t>The Audit Committee has adopted a pre-approval policy that provides guidelines for audit, audit-related, tax and other permissible non-audit services that may be provided by our independent auditors. Pursuant to the policy, our Corporate Controller supports the Audit Committee by providing a list of proposed services to the Audit Committee, monitoring the services and fees pre-approved by the Audit Committee, providing periodic reports to the Audit Committee with respect to pre-approved services and coordinating with management and the independent auditors to support compliance with the policy.</w:t>
      </w:r>
    </w:p>
    <w:p>
      <w:pPr>
        <w:spacing w:after="0" w:line="139" w:lineRule="exact"/>
        <w:rPr>
          <w:sz w:val="20"/>
          <w:szCs w:val="20"/>
          <w:color w:val="auto"/>
        </w:rPr>
      </w:pPr>
    </w:p>
    <w:p>
      <w:pPr>
        <w:ind w:left="680" w:right="40"/>
        <w:spacing w:after="0" w:line="256" w:lineRule="auto"/>
        <w:rPr>
          <w:sz w:val="20"/>
          <w:szCs w:val="20"/>
          <w:color w:val="auto"/>
        </w:rPr>
      </w:pPr>
      <w:r>
        <w:rPr>
          <w:rFonts w:ascii="Arial" w:cs="Arial" w:eastAsia="Arial" w:hAnsi="Arial"/>
          <w:sz w:val="16"/>
          <w:szCs w:val="16"/>
          <w:color w:val="auto"/>
        </w:rPr>
        <w:t>Under the policy, the Audit Committee annually pre-approves the audit fee and terms of the engagement, as set forth in the engagement letter. The Audit Committee also annually approves a specified list of audit, audit-related and tax services. Any service not included in the specified list of services must be submitted to the Audit Committee for pre-approval. The independent auditors may not begin work on any engagement without confirmation of Audit Committee pre-approval from our Corporate Controller or his or her delegate.</w:t>
      </w:r>
    </w:p>
    <w:p>
      <w:pPr>
        <w:spacing w:after="0" w:line="139" w:lineRule="exact"/>
        <w:rPr>
          <w:sz w:val="20"/>
          <w:szCs w:val="20"/>
          <w:color w:val="auto"/>
        </w:rPr>
      </w:pPr>
    </w:p>
    <w:p>
      <w:pPr>
        <w:ind w:left="680" w:right="460"/>
        <w:spacing w:after="0" w:line="266" w:lineRule="auto"/>
        <w:rPr>
          <w:sz w:val="20"/>
          <w:szCs w:val="20"/>
          <w:color w:val="auto"/>
        </w:rPr>
      </w:pPr>
      <w:r>
        <w:rPr>
          <w:rFonts w:ascii="Arial" w:cs="Arial" w:eastAsia="Arial" w:hAnsi="Arial"/>
          <w:sz w:val="16"/>
          <w:szCs w:val="16"/>
          <w:color w:val="auto"/>
        </w:rPr>
        <w:t>Pursuant to the policy, the Audit Committee has delegated to its Chair the authority to pre-approve the engagement of the independent auditors in the Chair’s discretion. The Chair reports all such pre-approvals to the Audit Committee at the next Audit Committee meeting.</w:t>
      </w:r>
    </w:p>
    <w:p>
      <w:pPr>
        <w:spacing w:after="0" w:line="144" w:lineRule="exact"/>
        <w:rPr>
          <w:sz w:val="20"/>
          <w:szCs w:val="20"/>
          <w:color w:val="auto"/>
        </w:rPr>
      </w:pPr>
    </w:p>
    <w:p>
      <w:pPr>
        <w:ind w:left="680" w:right="200"/>
        <w:spacing w:after="0" w:line="256" w:lineRule="auto"/>
        <w:rPr>
          <w:sz w:val="20"/>
          <w:szCs w:val="20"/>
          <w:color w:val="auto"/>
        </w:rPr>
      </w:pPr>
      <w:r>
        <w:rPr>
          <w:rFonts w:ascii="Arial" w:cs="Arial" w:eastAsia="Arial" w:hAnsi="Arial"/>
          <w:sz w:val="16"/>
          <w:szCs w:val="16"/>
          <w:color w:val="auto"/>
        </w:rPr>
        <w:t>In compliance with the Audit Committee’s internal policy and auditor independence rules of the SEC, all audit and permissible non-audit services provided by PricewaterhouseCoopers LLP to Keenova for fiscal 2025 and 2024 were pre-approved by the Audit Committee. References to the Audit Committee reflect committee composition of Katina Dorton (Chair), Paul M. Bisaro, and Wesley P. Wheeler for the pre-merger portion of the year, and Sophia Langlois (Chair), Katina Dorton, and Jon Zinman for the post-merger portion of the year.</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Audit Committee Report</w:t>
      </w:r>
    </w:p>
    <w:p>
      <w:pPr>
        <w:spacing w:after="0" w:line="112" w:lineRule="exact"/>
        <w:rPr>
          <w:sz w:val="20"/>
          <w:szCs w:val="20"/>
          <w:color w:val="auto"/>
        </w:rPr>
      </w:pPr>
    </w:p>
    <w:p>
      <w:pPr>
        <w:ind w:left="680" w:right="40"/>
        <w:spacing w:after="0" w:line="272" w:lineRule="auto"/>
        <w:rPr>
          <w:sz w:val="20"/>
          <w:szCs w:val="20"/>
          <w:color w:val="auto"/>
        </w:rPr>
      </w:pPr>
      <w:r>
        <w:rPr>
          <w:rFonts w:ascii="Arial" w:cs="Arial" w:eastAsia="Arial" w:hAnsi="Arial"/>
          <w:sz w:val="15"/>
          <w:szCs w:val="15"/>
          <w:color w:val="auto"/>
        </w:rPr>
        <w:t xml:space="preserve">As more fully described in its charter, which is available on our website, </w:t>
      </w:r>
      <w:r>
        <w:rPr>
          <w:rFonts w:ascii="Arial" w:cs="Arial" w:eastAsia="Arial" w:hAnsi="Arial"/>
          <w:sz w:val="15"/>
          <w:szCs w:val="15"/>
          <w:i w:val="1"/>
          <w:iCs w:val="1"/>
          <w:color w:val="auto"/>
        </w:rPr>
        <w:t>investor.keenova.com/corporate-governance/highlights</w:t>
      </w:r>
      <w:r>
        <w:rPr>
          <w:rFonts w:ascii="Arial" w:cs="Arial" w:eastAsia="Arial" w:hAnsi="Arial"/>
          <w:sz w:val="15"/>
          <w:szCs w:val="15"/>
          <w:color w:val="auto"/>
        </w:rPr>
        <w:t>, the Audit Committee oversees Keenova’s financial reporting process on behalf of the Board. Management has day-to-day responsibility for the Company’s financial reporting process, including assuring that the Company develops and maintains adequate financial controls and procedures and monitoring and assessing compliance with those controls and procedures, including internal control over financial reporting. Keenova’s independent auditors are responsible for auditing the annual consolidated financial statements prepared by management, expressing an opinion as to whether those financial statements fairly present the financial position, results of operations and cash flows of the Company in conformity with accounting principles generally accepted in the United States and</w:t>
      </w:r>
    </w:p>
    <w:p>
      <w:pPr>
        <w:sectPr>
          <w:pgSz w:w="11900" w:h="16838" w:orient="portrait"/>
          <w:cols w:equalWidth="0" w:num="1">
            <w:col w:w="10100"/>
          </w:cols>
          <w:pgMar w:left="580" w:top="97" w:right="1219" w:bottom="1440" w:gutter="0" w:footer="0" w:header="0"/>
        </w:sectPr>
      </w:pPr>
    </w:p>
    <w:p>
      <w:pPr>
        <w:spacing w:after="0" w:line="321"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​52 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7980"/>
        <w:spacing w:after="0"/>
        <w:rPr>
          <w:sz w:val="20"/>
          <w:szCs w:val="20"/>
          <w:color w:val="auto"/>
        </w:rPr>
      </w:pPr>
      <w:r>
        <w:rPr>
          <w:rFonts w:ascii="Arial" w:cs="Arial" w:eastAsia="Arial" w:hAnsi="Arial"/>
          <w:sz w:val="13"/>
          <w:szCs w:val="13"/>
          <w:color w:val="323232"/>
        </w:rPr>
        <w:t>Audit and Audit Committee Matters</w:t>
      </w:r>
    </w:p>
    <w:p>
      <w:pPr>
        <w:spacing w:after="0" w:line="200" w:lineRule="exact"/>
        <w:rPr>
          <w:sz w:val="20"/>
          <w:szCs w:val="20"/>
          <w:color w:val="auto"/>
        </w:rPr>
      </w:pPr>
    </w:p>
    <w:p>
      <w:pPr>
        <w:spacing w:after="0" w:line="216" w:lineRule="exact"/>
        <w:rPr>
          <w:sz w:val="20"/>
          <w:szCs w:val="20"/>
          <w:color w:val="auto"/>
        </w:rPr>
      </w:pPr>
    </w:p>
    <w:p>
      <w:pPr>
        <w:jc w:val="both"/>
        <w:ind w:left="680" w:right="160"/>
        <w:spacing w:after="0" w:line="275" w:lineRule="auto"/>
        <w:rPr>
          <w:sz w:val="20"/>
          <w:szCs w:val="20"/>
          <w:color w:val="auto"/>
        </w:rPr>
      </w:pPr>
      <w:r>
        <w:rPr>
          <w:rFonts w:ascii="Arial" w:cs="Arial" w:eastAsia="Arial" w:hAnsi="Arial"/>
          <w:sz w:val="16"/>
          <w:szCs w:val="16"/>
          <w:color w:val="auto"/>
        </w:rPr>
        <w:t>discussing with the Audit Committee any issues they believe should be raised. The independent auditors are also responsible to the Audit Committee and the Board for testing the financial accounting and reporting control systems and for such other matters as the Audit Committee and Board determine.</w:t>
      </w:r>
    </w:p>
    <w:p>
      <w:pPr>
        <w:spacing w:after="0" w:line="137" w:lineRule="exact"/>
        <w:rPr>
          <w:sz w:val="20"/>
          <w:szCs w:val="20"/>
          <w:color w:val="auto"/>
        </w:rPr>
      </w:pPr>
    </w:p>
    <w:p>
      <w:pPr>
        <w:ind w:left="680" w:right="60"/>
        <w:spacing w:after="0" w:line="271"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the internal auditors and the independent auditors the consolidated financial statements for the fiscal year ended December 31, 2025, filed with the SEC. Management represented to the Audit Committee that these consolidated financial statements were prepared in accordance with generally accepted accounting principles in the United States (“U.S. GAAP”). In addition, the Audit Committee has:</w:t>
      </w:r>
    </w:p>
    <w:p>
      <w:pPr>
        <w:spacing w:after="0" w:line="33" w:lineRule="exact"/>
        <w:rPr>
          <w:sz w:val="20"/>
          <w:szCs w:val="20"/>
          <w:color w:val="auto"/>
        </w:rPr>
      </w:pPr>
    </w:p>
    <w:p>
      <w:pPr>
        <w:ind w:left="860" w:right="640" w:hanging="188"/>
        <w:spacing w:after="0" w:line="304"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Discussed with the independent auditors the matters required to be discussed by the applicable requirements of the Public Company Accounting Oversight Board (“PCAOB”) and the SEC;</w:t>
      </w:r>
    </w:p>
    <w:p>
      <w:pPr>
        <w:spacing w:after="0" w:line="6" w:lineRule="exact"/>
        <w:rPr>
          <w:rFonts w:ascii="Arial" w:cs="Arial" w:eastAsia="Arial" w:hAnsi="Arial"/>
          <w:sz w:val="16"/>
          <w:szCs w:val="16"/>
          <w:color w:val="auto"/>
        </w:rPr>
      </w:pPr>
    </w:p>
    <w:p>
      <w:pPr>
        <w:ind w:left="860" w:right="200" w:hanging="188"/>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Received from the independent auditors the written disclosures and letter required by the applicable requirements of the PCAOB regarding the independent auditors’ communications with the Audit Committee concerning independence;</w:t>
      </w:r>
    </w:p>
    <w:p>
      <w:pPr>
        <w:spacing w:after="0" w:line="20" w:lineRule="exact"/>
        <w:rPr>
          <w:rFonts w:ascii="Arial" w:cs="Arial" w:eastAsia="Arial" w:hAnsi="Arial"/>
          <w:sz w:val="16"/>
          <w:szCs w:val="16"/>
          <w:color w:val="auto"/>
        </w:rPr>
      </w:pPr>
    </w:p>
    <w:p>
      <w:pPr>
        <w:ind w:left="860" w:hanging="188"/>
        <w:spacing w:after="0"/>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Discussed with the independent auditors their independence from the Company and its management; and</w:t>
      </w:r>
    </w:p>
    <w:p>
      <w:pPr>
        <w:spacing w:after="0" w:line="86" w:lineRule="exact"/>
        <w:rPr>
          <w:rFonts w:ascii="Arial" w:cs="Arial" w:eastAsia="Arial" w:hAnsi="Arial"/>
          <w:sz w:val="16"/>
          <w:szCs w:val="16"/>
          <w:color w:val="auto"/>
        </w:rPr>
      </w:pPr>
    </w:p>
    <w:p>
      <w:pPr>
        <w:ind w:left="860" w:right="200" w:hanging="188"/>
        <w:spacing w:after="0" w:line="304"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Considered whether the independent auditors’ provision of non-audit services to the Company is compatible with maintaining the auditors’ independence.</w:t>
      </w:r>
    </w:p>
    <w:p>
      <w:pPr>
        <w:spacing w:after="0" w:line="114" w:lineRule="exact"/>
        <w:rPr>
          <w:sz w:val="20"/>
          <w:szCs w:val="20"/>
          <w:color w:val="auto"/>
        </w:rPr>
      </w:pPr>
    </w:p>
    <w:p>
      <w:pPr>
        <w:ind w:left="680" w:right="320"/>
        <w:spacing w:after="0" w:line="275" w:lineRule="auto"/>
        <w:rPr>
          <w:sz w:val="20"/>
          <w:szCs w:val="20"/>
          <w:color w:val="auto"/>
        </w:rPr>
      </w:pPr>
      <w:r>
        <w:rPr>
          <w:rFonts w:ascii="Arial" w:cs="Arial" w:eastAsia="Arial" w:hAnsi="Arial"/>
          <w:sz w:val="16"/>
          <w:szCs w:val="16"/>
          <w:color w:val="auto"/>
        </w:rPr>
        <w:t>Based upon the review and discussions referred to above, the Audit Committee recommended to the Board of Directors that Keenova’s audited consolidated financial statements prepared in accordance with U.S. GAAP be included in its Annual Report on Form 10-K for the fiscal year ended December 31, 2025, and filed with the SEC.</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Audit Committee</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Sophia Langlois, Chair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Katina Dorton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Jonathan Zinman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53</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Equity Compensation Plan Information</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Equity Compensation Plan Information</w:t>
      </w:r>
    </w:p>
    <w:p>
      <w:pPr>
        <w:spacing w:after="0" w:line="120" w:lineRule="exact"/>
        <w:rPr>
          <w:sz w:val="20"/>
          <w:szCs w:val="20"/>
          <w:color w:val="auto"/>
        </w:rPr>
      </w:pPr>
    </w:p>
    <w:p>
      <w:pPr>
        <w:ind w:left="680" w:right="40"/>
        <w:spacing w:after="0" w:line="275" w:lineRule="auto"/>
        <w:rPr>
          <w:sz w:val="20"/>
          <w:szCs w:val="20"/>
          <w:color w:val="auto"/>
        </w:rPr>
      </w:pPr>
      <w:r>
        <w:rPr>
          <w:rFonts w:ascii="Arial" w:cs="Arial" w:eastAsia="Arial" w:hAnsi="Arial"/>
          <w:sz w:val="16"/>
          <w:szCs w:val="16"/>
          <w:color w:val="auto"/>
        </w:rPr>
        <w:t>The following table contains the information specified by Item 201(d) of Regulation S-K as of the end of Fiscal 2025 with respect to compensation plans (including individual compensation arrangements) under which equity securities of the registrant were authorized for issuance.</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330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740" w:type="dxa"/>
            <w:vAlign w:val="bottom"/>
            <w:shd w:val="clear" w:color="auto" w:fill="B2EEDE"/>
          </w:tcPr>
          <w:p>
            <w:pPr>
              <w:spacing w:after="0"/>
              <w:rPr>
                <w:sz w:val="16"/>
                <w:szCs w:val="16"/>
                <w:color w:val="auto"/>
              </w:rPr>
            </w:pPr>
          </w:p>
        </w:tc>
        <w:tc>
          <w:tcPr>
            <w:tcW w:w="1120" w:type="dxa"/>
            <w:vAlign w:val="bottom"/>
            <w:shd w:val="clear" w:color="auto" w:fill="B2EEDE"/>
          </w:tcPr>
          <w:p>
            <w:pPr>
              <w:spacing w:after="0"/>
              <w:rPr>
                <w:sz w:val="16"/>
                <w:szCs w:val="16"/>
                <w:color w:val="auto"/>
              </w:rPr>
            </w:pPr>
          </w:p>
        </w:tc>
        <w:tc>
          <w:tcPr>
            <w:tcW w:w="220" w:type="dxa"/>
            <w:vAlign w:val="bottom"/>
            <w:shd w:val="clear" w:color="auto" w:fill="B2EEDE"/>
          </w:tcPr>
          <w:p>
            <w:pPr>
              <w:spacing w:after="0"/>
              <w:rPr>
                <w:sz w:val="16"/>
                <w:szCs w:val="16"/>
                <w:color w:val="auto"/>
              </w:rPr>
            </w:pPr>
          </w:p>
        </w:tc>
        <w:tc>
          <w:tcPr>
            <w:tcW w:w="1480" w:type="dxa"/>
            <w:vAlign w:val="bottom"/>
            <w:shd w:val="clear" w:color="auto" w:fill="B2EEDE"/>
          </w:tcPr>
          <w:p>
            <w:pPr>
              <w:spacing w:after="0"/>
              <w:rPr>
                <w:sz w:val="16"/>
                <w:szCs w:val="16"/>
                <w:color w:val="auto"/>
              </w:rPr>
            </w:pPr>
          </w:p>
        </w:tc>
        <w:tc>
          <w:tcPr>
            <w:tcW w:w="260" w:type="dxa"/>
            <w:vAlign w:val="bottom"/>
            <w:shd w:val="clear" w:color="auto" w:fill="B2EEDE"/>
          </w:tcPr>
          <w:p>
            <w:pPr>
              <w:spacing w:after="0"/>
              <w:rPr>
                <w:sz w:val="16"/>
                <w:szCs w:val="16"/>
                <w:color w:val="auto"/>
              </w:rPr>
            </w:pPr>
          </w:p>
        </w:tc>
        <w:tc>
          <w:tcPr>
            <w:tcW w:w="19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shd w:val="clear" w:color="auto" w:fill="B2EED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1860" w:type="dxa"/>
            <w:vAlign w:val="bottom"/>
            <w:gridSpan w:val="2"/>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220" w:type="dxa"/>
            <w:vAlign w:val="bottom"/>
            <w:shd w:val="clear" w:color="auto" w:fill="B2EEDE"/>
          </w:tcPr>
          <w:p>
            <w:pPr>
              <w:spacing w:after="0"/>
              <w:rPr>
                <w:sz w:val="16"/>
                <w:szCs w:val="16"/>
                <w:color w:val="auto"/>
              </w:rPr>
            </w:pPr>
          </w:p>
        </w:tc>
        <w:tc>
          <w:tcPr>
            <w:tcW w:w="1480" w:type="dxa"/>
            <w:vAlign w:val="bottom"/>
            <w:vMerge w:val="restart"/>
            <w:shd w:val="clear" w:color="auto" w:fill="B2EEDE"/>
          </w:tcPr>
          <w:p>
            <w:pPr>
              <w:jc w:val="center"/>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shd w:val="clear" w:color="auto" w:fill="B2EEDE"/>
          </w:tcPr>
          <w:p>
            <w:pPr>
              <w:spacing w:after="0"/>
              <w:rPr>
                <w:sz w:val="16"/>
                <w:szCs w:val="16"/>
                <w:color w:val="auto"/>
              </w:rPr>
            </w:pPr>
          </w:p>
        </w:tc>
        <w:tc>
          <w:tcPr>
            <w:tcW w:w="19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120" w:type="dxa"/>
            <w:vAlign w:val="bottom"/>
            <w:shd w:val="clear" w:color="auto" w:fill="B2EED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B2EEDE"/>
          </w:tcPr>
          <w:p>
            <w:pPr>
              <w:spacing w:after="0"/>
              <w:rPr>
                <w:sz w:val="14"/>
                <w:szCs w:val="14"/>
                <w:color w:val="auto"/>
              </w:rPr>
            </w:pPr>
          </w:p>
        </w:tc>
        <w:tc>
          <w:tcPr>
            <w:tcW w:w="240" w:type="dxa"/>
            <w:vAlign w:val="bottom"/>
            <w:shd w:val="clear" w:color="auto" w:fill="B2EEDE"/>
          </w:tcPr>
          <w:p>
            <w:pPr>
              <w:spacing w:after="0"/>
              <w:rPr>
                <w:sz w:val="14"/>
                <w:szCs w:val="14"/>
                <w:color w:val="auto"/>
              </w:rPr>
            </w:pPr>
          </w:p>
        </w:tc>
        <w:tc>
          <w:tcPr>
            <w:tcW w:w="1860" w:type="dxa"/>
            <w:vAlign w:val="bottom"/>
            <w:gridSpan w:val="2"/>
            <w:vMerge w:val="continue"/>
            <w:shd w:val="clear" w:color="auto" w:fill="B2EEDE"/>
          </w:tcPr>
          <w:p>
            <w:pPr>
              <w:spacing w:after="0"/>
              <w:rPr>
                <w:sz w:val="14"/>
                <w:szCs w:val="14"/>
                <w:color w:val="auto"/>
              </w:rPr>
            </w:pPr>
          </w:p>
        </w:tc>
        <w:tc>
          <w:tcPr>
            <w:tcW w:w="220" w:type="dxa"/>
            <w:vAlign w:val="bottom"/>
            <w:shd w:val="clear" w:color="auto" w:fill="B2EEDE"/>
          </w:tcPr>
          <w:p>
            <w:pPr>
              <w:spacing w:after="0"/>
              <w:rPr>
                <w:sz w:val="14"/>
                <w:szCs w:val="14"/>
                <w:color w:val="auto"/>
              </w:rPr>
            </w:pPr>
          </w:p>
        </w:tc>
        <w:tc>
          <w:tcPr>
            <w:tcW w:w="1480" w:type="dxa"/>
            <w:vAlign w:val="bottom"/>
            <w:vMerge w:val="continue"/>
            <w:shd w:val="clear" w:color="auto" w:fill="B2EEDE"/>
          </w:tcPr>
          <w:p>
            <w:pPr>
              <w:spacing w:after="0"/>
              <w:rPr>
                <w:sz w:val="14"/>
                <w:szCs w:val="14"/>
                <w:color w:val="auto"/>
              </w:rPr>
            </w:pPr>
          </w:p>
        </w:tc>
        <w:tc>
          <w:tcPr>
            <w:tcW w:w="260" w:type="dxa"/>
            <w:vAlign w:val="bottom"/>
            <w:shd w:val="clear" w:color="auto" w:fill="B2EEDE"/>
          </w:tcPr>
          <w:p>
            <w:pPr>
              <w:spacing w:after="0"/>
              <w:rPr>
                <w:sz w:val="14"/>
                <w:szCs w:val="14"/>
                <w:color w:val="auto"/>
              </w:rPr>
            </w:pPr>
          </w:p>
        </w:tc>
        <w:tc>
          <w:tcPr>
            <w:tcW w:w="19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120" w:type="dxa"/>
            <w:vAlign w:val="bottom"/>
            <w:shd w:val="clear" w:color="auto" w:fill="B2EED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B2EEDE"/>
          </w:tcPr>
          <w:p>
            <w:pPr>
              <w:spacing w:after="0"/>
              <w:rPr>
                <w:sz w:val="16"/>
                <w:szCs w:val="16"/>
                <w:color w:val="auto"/>
              </w:rPr>
            </w:pPr>
          </w:p>
        </w:tc>
        <w:tc>
          <w:tcPr>
            <w:tcW w:w="240" w:type="dxa"/>
            <w:vAlign w:val="bottom"/>
            <w:shd w:val="clear" w:color="auto" w:fill="B2EEDE"/>
          </w:tcPr>
          <w:p>
            <w:pPr>
              <w:spacing w:after="0"/>
              <w:rPr>
                <w:sz w:val="16"/>
                <w:szCs w:val="16"/>
                <w:color w:val="auto"/>
              </w:rPr>
            </w:pPr>
          </w:p>
        </w:tc>
        <w:tc>
          <w:tcPr>
            <w:tcW w:w="18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Issued Upon Exercise of</w:t>
            </w:r>
          </w:p>
        </w:tc>
        <w:tc>
          <w:tcPr>
            <w:tcW w:w="220" w:type="dxa"/>
            <w:vAlign w:val="bottom"/>
            <w:shd w:val="clear" w:color="auto" w:fill="B2EEDE"/>
          </w:tcPr>
          <w:p>
            <w:pPr>
              <w:spacing w:after="0"/>
              <w:rPr>
                <w:sz w:val="16"/>
                <w:szCs w:val="16"/>
                <w:color w:val="auto"/>
              </w:rPr>
            </w:pPr>
          </w:p>
        </w:tc>
        <w:tc>
          <w:tcPr>
            <w:tcW w:w="14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260" w:type="dxa"/>
            <w:vAlign w:val="bottom"/>
            <w:shd w:val="clear" w:color="auto" w:fill="B2EEDE"/>
          </w:tcPr>
          <w:p>
            <w:pPr>
              <w:spacing w:after="0"/>
              <w:rPr>
                <w:sz w:val="16"/>
                <w:szCs w:val="16"/>
                <w:color w:val="auto"/>
              </w:rPr>
            </w:pPr>
          </w:p>
        </w:tc>
        <w:tc>
          <w:tcPr>
            <w:tcW w:w="19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Equity Compensation Plans</w:t>
            </w:r>
          </w:p>
        </w:tc>
        <w:tc>
          <w:tcPr>
            <w:tcW w:w="120" w:type="dxa"/>
            <w:vAlign w:val="bottom"/>
            <w:shd w:val="clear" w:color="auto" w:fill="B2EED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B2EEDE"/>
          </w:tcPr>
          <w:p>
            <w:pPr>
              <w:spacing w:after="0"/>
              <w:rPr>
                <w:sz w:val="15"/>
                <w:szCs w:val="15"/>
                <w:color w:val="auto"/>
              </w:rPr>
            </w:pPr>
          </w:p>
        </w:tc>
        <w:tc>
          <w:tcPr>
            <w:tcW w:w="240" w:type="dxa"/>
            <w:vAlign w:val="bottom"/>
            <w:shd w:val="clear" w:color="auto" w:fill="B2EEDE"/>
          </w:tcPr>
          <w:p>
            <w:pPr>
              <w:spacing w:after="0"/>
              <w:rPr>
                <w:sz w:val="15"/>
                <w:szCs w:val="15"/>
                <w:color w:val="auto"/>
              </w:rPr>
            </w:pPr>
          </w:p>
        </w:tc>
        <w:tc>
          <w:tcPr>
            <w:tcW w:w="18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20" w:type="dxa"/>
            <w:vAlign w:val="bottom"/>
            <w:shd w:val="clear" w:color="auto" w:fill="B2EEDE"/>
          </w:tcPr>
          <w:p>
            <w:pPr>
              <w:spacing w:after="0"/>
              <w:rPr>
                <w:sz w:val="15"/>
                <w:szCs w:val="15"/>
                <w:color w:val="auto"/>
              </w:rPr>
            </w:pPr>
          </w:p>
        </w:tc>
        <w:tc>
          <w:tcPr>
            <w:tcW w:w="14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60" w:type="dxa"/>
            <w:vAlign w:val="bottom"/>
            <w:shd w:val="clear" w:color="auto" w:fill="B2EEDE"/>
          </w:tcPr>
          <w:p>
            <w:pPr>
              <w:spacing w:after="0"/>
              <w:rPr>
                <w:sz w:val="15"/>
                <w:szCs w:val="15"/>
                <w:color w:val="auto"/>
              </w:rPr>
            </w:pPr>
          </w:p>
        </w:tc>
        <w:tc>
          <w:tcPr>
            <w:tcW w:w="19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(excluding securities</w:t>
            </w:r>
          </w:p>
        </w:tc>
        <w:tc>
          <w:tcPr>
            <w:tcW w:w="1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B2EEDE"/>
          </w:tcPr>
          <w:p>
            <w:pPr>
              <w:spacing w:after="0"/>
              <w:rPr>
                <w:sz w:val="15"/>
                <w:szCs w:val="15"/>
                <w:color w:val="auto"/>
              </w:rPr>
            </w:pPr>
          </w:p>
        </w:tc>
        <w:tc>
          <w:tcPr>
            <w:tcW w:w="240" w:type="dxa"/>
            <w:vAlign w:val="bottom"/>
            <w:shd w:val="clear" w:color="auto" w:fill="B2EEDE"/>
          </w:tcPr>
          <w:p>
            <w:pPr>
              <w:spacing w:after="0"/>
              <w:rPr>
                <w:sz w:val="15"/>
                <w:szCs w:val="15"/>
                <w:color w:val="auto"/>
              </w:rPr>
            </w:pPr>
          </w:p>
        </w:tc>
        <w:tc>
          <w:tcPr>
            <w:tcW w:w="186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 w:type="dxa"/>
            <w:vAlign w:val="bottom"/>
            <w:shd w:val="clear" w:color="auto" w:fill="B2EEDE"/>
          </w:tcPr>
          <w:p>
            <w:pPr>
              <w:spacing w:after="0"/>
              <w:rPr>
                <w:sz w:val="15"/>
                <w:szCs w:val="15"/>
                <w:color w:val="auto"/>
              </w:rPr>
            </w:pPr>
          </w:p>
        </w:tc>
        <w:tc>
          <w:tcPr>
            <w:tcW w:w="1480" w:type="dxa"/>
            <w:vAlign w:val="bottom"/>
            <w:shd w:val="clear" w:color="auto" w:fill="B2EEDE"/>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60" w:type="dxa"/>
            <w:vAlign w:val="bottom"/>
            <w:shd w:val="clear" w:color="auto" w:fill="B2EEDE"/>
          </w:tcPr>
          <w:p>
            <w:pPr>
              <w:spacing w:after="0"/>
              <w:rPr>
                <w:sz w:val="15"/>
                <w:szCs w:val="15"/>
                <w:color w:val="auto"/>
              </w:rPr>
            </w:pPr>
          </w:p>
        </w:tc>
        <w:tc>
          <w:tcPr>
            <w:tcW w:w="1920" w:type="dxa"/>
            <w:vAlign w:val="bottom"/>
            <w:gridSpan w:val="2"/>
            <w:shd w:val="clear" w:color="auto" w:fill="B2EEDE"/>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120" w:type="dxa"/>
            <w:vAlign w:val="bottom"/>
            <w:shd w:val="clear" w:color="auto" w:fill="B2EED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0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6"/>
                <w:szCs w:val="26"/>
                <w:b w:val="1"/>
                <w:bCs w:val="1"/>
                <w:color w:val="auto"/>
                <w:vertAlign w:val="superscript"/>
              </w:rPr>
              <w:t>​</w:t>
            </w:r>
          </w:p>
        </w:tc>
        <w:tc>
          <w:tcPr>
            <w:tcW w:w="240" w:type="dxa"/>
            <w:vAlign w:val="bottom"/>
            <w:tcBorders>
              <w:bottom w:val="single" w:sz="8" w:color="auto"/>
            </w:tcBorders>
            <w:shd w:val="clear" w:color="auto" w:fill="B2EEDE"/>
          </w:tcPr>
          <w:p>
            <w:pPr>
              <w:ind w:left="80"/>
              <w:spacing w:after="0"/>
              <w:rPr>
                <w:sz w:val="20"/>
                <w:szCs w:val="20"/>
                <w:color w:val="auto"/>
              </w:rPr>
            </w:pPr>
            <w:r>
              <w:rPr>
                <w:rFonts w:ascii="Arial" w:cs="Arial" w:eastAsia="Arial" w:hAnsi="Arial"/>
                <w:sz w:val="14"/>
                <w:szCs w:val="14"/>
                <w:b w:val="1"/>
                <w:bCs w:val="1"/>
                <w:color w:val="auto"/>
              </w:rPr>
              <w:t>​ ​</w:t>
            </w:r>
          </w:p>
        </w:tc>
        <w:tc>
          <w:tcPr>
            <w:tcW w:w="740" w:type="dxa"/>
            <w:vAlign w:val="bottom"/>
            <w:tcBorders>
              <w:bottom w:val="single" w:sz="8" w:color="auto"/>
            </w:tcBorders>
            <w:shd w:val="clear" w:color="auto" w:fill="B2EEDE"/>
          </w:tcPr>
          <w:p>
            <w:pPr>
              <w:spacing w:after="0"/>
              <w:rPr>
                <w:sz w:val="19"/>
                <w:szCs w:val="19"/>
                <w:color w:val="auto"/>
              </w:rPr>
            </w:pPr>
          </w:p>
        </w:tc>
        <w:tc>
          <w:tcPr>
            <w:tcW w:w="1120" w:type="dxa"/>
            <w:vAlign w:val="bottom"/>
            <w:tcBorders>
              <w:bottom w:val="single" w:sz="8" w:color="auto"/>
            </w:tcBorders>
            <w:shd w:val="clear" w:color="auto" w:fill="B2EEDE"/>
          </w:tcPr>
          <w:p>
            <w:pPr>
              <w:jc w:val="center"/>
              <w:ind w:right="658"/>
              <w:spacing w:after="0" w:line="225" w:lineRule="exact"/>
              <w:rPr>
                <w:sz w:val="20"/>
                <w:szCs w:val="20"/>
                <w:color w:val="auto"/>
              </w:rPr>
            </w:pPr>
            <w:r>
              <w:rPr>
                <w:rFonts w:ascii="Arial" w:cs="Arial" w:eastAsia="Arial" w:hAnsi="Arial"/>
                <w:sz w:val="26"/>
                <w:szCs w:val="26"/>
                <w:b w:val="1"/>
                <w:bCs w:val="1"/>
                <w:color w:val="auto"/>
                <w:w w:val="86"/>
                <w:vertAlign w:val="subscript"/>
              </w:rPr>
              <w:t>(a)</w:t>
            </w:r>
            <w:r>
              <w:rPr>
                <w:rFonts w:ascii="Arial" w:cs="Arial" w:eastAsia="Arial" w:hAnsi="Arial"/>
                <w:sz w:val="9"/>
                <w:szCs w:val="9"/>
                <w:b w:val="1"/>
                <w:bCs w:val="1"/>
                <w:color w:val="auto"/>
                <w:w w:val="86"/>
              </w:rPr>
              <w:t>(1)</w:t>
            </w:r>
          </w:p>
        </w:tc>
        <w:tc>
          <w:tcPr>
            <w:tcW w:w="2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1480" w:type="dxa"/>
            <w:vAlign w:val="bottom"/>
            <w:tcBorders>
              <w:bottom w:val="single" w:sz="8" w:color="auto"/>
            </w:tcBorders>
            <w:shd w:val="clear" w:color="auto" w:fill="B2EEDE"/>
          </w:tcPr>
          <w:p>
            <w:pPr>
              <w:jc w:val="center"/>
              <w:spacing w:after="0"/>
              <w:rPr>
                <w:sz w:val="20"/>
                <w:szCs w:val="20"/>
                <w:color w:val="auto"/>
              </w:rPr>
            </w:pPr>
            <w:r>
              <w:rPr>
                <w:rFonts w:ascii="Arial" w:cs="Arial" w:eastAsia="Arial" w:hAnsi="Arial"/>
                <w:sz w:val="14"/>
                <w:szCs w:val="14"/>
                <w:b w:val="1"/>
                <w:bCs w:val="1"/>
                <w:color w:val="auto"/>
              </w:rPr>
              <w:t>(b)</w:t>
            </w:r>
          </w:p>
        </w:tc>
        <w:tc>
          <w:tcPr>
            <w:tcW w:w="26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 ​</w:t>
            </w:r>
          </w:p>
        </w:tc>
        <w:tc>
          <w:tcPr>
            <w:tcW w:w="740" w:type="dxa"/>
            <w:vAlign w:val="bottom"/>
            <w:tcBorders>
              <w:bottom w:val="single" w:sz="8" w:color="auto"/>
            </w:tcBorders>
            <w:shd w:val="clear" w:color="auto" w:fill="B2EEDE"/>
          </w:tcPr>
          <w:p>
            <w:pPr>
              <w:spacing w:after="0"/>
              <w:rPr>
                <w:sz w:val="19"/>
                <w:szCs w:val="19"/>
                <w:color w:val="auto"/>
              </w:rPr>
            </w:pPr>
          </w:p>
        </w:tc>
        <w:tc>
          <w:tcPr>
            <w:tcW w:w="1180" w:type="dxa"/>
            <w:vAlign w:val="bottom"/>
            <w:tcBorders>
              <w:bottom w:val="single" w:sz="8" w:color="auto"/>
            </w:tcBorders>
            <w:shd w:val="clear" w:color="auto" w:fill="B2EEDE"/>
          </w:tcPr>
          <w:p>
            <w:pPr>
              <w:jc w:val="center"/>
              <w:ind w:right="664"/>
              <w:spacing w:after="0"/>
              <w:rPr>
                <w:sz w:val="20"/>
                <w:szCs w:val="20"/>
                <w:color w:val="auto"/>
              </w:rPr>
            </w:pPr>
            <w:r>
              <w:rPr>
                <w:rFonts w:ascii="Arial" w:cs="Arial" w:eastAsia="Arial" w:hAnsi="Arial"/>
                <w:sz w:val="14"/>
                <w:szCs w:val="14"/>
                <w:b w:val="1"/>
                <w:bCs w:val="1"/>
                <w:color w:val="auto"/>
                <w:w w:val="90"/>
              </w:rPr>
              <w:t>(c)</w:t>
            </w:r>
            <w:r>
              <w:rPr>
                <w:rFonts w:ascii="Arial" w:cs="Arial" w:eastAsia="Arial" w:hAnsi="Arial"/>
                <w:sz w:val="17"/>
                <w:szCs w:val="17"/>
                <w:b w:val="1"/>
                <w:bCs w:val="1"/>
                <w:color w:val="auto"/>
                <w:w w:val="90"/>
                <w:vertAlign w:val="superscript"/>
              </w:rPr>
              <w:t>(2)</w:t>
            </w:r>
          </w:p>
        </w:tc>
        <w:tc>
          <w:tcPr>
            <w:tcW w:w="120" w:type="dxa"/>
            <w:vAlign w:val="bottom"/>
            <w:tcBorders>
              <w:bottom w:val="single" w:sz="8" w:color="auto"/>
            </w:tcBorders>
            <w:shd w:val="clear" w:color="auto" w:fill="B2EE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300" w:type="dxa"/>
            <w:vAlign w:val="bottom"/>
          </w:tcPr>
          <w:p>
            <w:pPr>
              <w:ind w:left="120"/>
              <w:spacing w:after="0"/>
              <w:rPr>
                <w:sz w:val="20"/>
                <w:szCs w:val="20"/>
                <w:color w:val="auto"/>
              </w:rPr>
            </w:pPr>
            <w:r>
              <w:rPr>
                <w:rFonts w:ascii="Arial" w:cs="Arial" w:eastAsia="Arial" w:hAnsi="Arial"/>
                <w:sz w:val="16"/>
                <w:szCs w:val="16"/>
                <w:color w:val="auto"/>
              </w:rPr>
              <w:t>Equity compensation plans</w:t>
            </w:r>
          </w:p>
        </w:tc>
        <w:tc>
          <w:tcPr>
            <w:tcW w:w="240" w:type="dxa"/>
            <w:vAlign w:val="bottom"/>
          </w:tcPr>
          <w:p>
            <w:pPr>
              <w:spacing w:after="0"/>
              <w:rPr>
                <w:sz w:val="18"/>
                <w:szCs w:val="18"/>
                <w:color w:val="auto"/>
              </w:rPr>
            </w:pPr>
          </w:p>
        </w:tc>
        <w:tc>
          <w:tcPr>
            <w:tcW w:w="7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55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4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tcPr>
          <w:p>
            <w:pPr>
              <w:jc w:val="right"/>
              <w:ind w:right="50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​approved by security holders</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7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Equity compensation plans not approved by</w:t>
            </w:r>
          </w:p>
        </w:tc>
        <w:tc>
          <w:tcPr>
            <w:tcW w:w="240" w:type="dxa"/>
            <w:vAlign w:val="bottom"/>
            <w:shd w:val="clear" w:color="auto" w:fill="E5E5E5"/>
          </w:tcPr>
          <w:p>
            <w:pPr>
              <w:spacing w:after="0"/>
              <w:rPr>
                <w:sz w:val="18"/>
                <w:szCs w:val="18"/>
                <w:color w:val="auto"/>
              </w:rPr>
            </w:pPr>
          </w:p>
        </w:tc>
        <w:tc>
          <w:tcPr>
            <w:tcW w:w="1860" w:type="dxa"/>
            <w:vAlign w:val="bottom"/>
            <w:gridSpan w:val="2"/>
            <w:vMerge w:val="restart"/>
            <w:shd w:val="clear" w:color="auto" w:fill="E5E5E5"/>
          </w:tcPr>
          <w:p>
            <w:pPr>
              <w:jc w:val="right"/>
              <w:ind w:right="558"/>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735,860</w:t>
            </w:r>
          </w:p>
        </w:tc>
        <w:tc>
          <w:tcPr>
            <w:tcW w:w="220" w:type="dxa"/>
            <w:vAlign w:val="bottom"/>
            <w:shd w:val="clear" w:color="auto" w:fill="E5E5E5"/>
          </w:tcPr>
          <w:p>
            <w:pPr>
              <w:spacing w:after="0"/>
              <w:rPr>
                <w:sz w:val="18"/>
                <w:szCs w:val="18"/>
                <w:color w:val="auto"/>
              </w:rPr>
            </w:pPr>
          </w:p>
        </w:tc>
        <w:tc>
          <w:tcPr>
            <w:tcW w:w="148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5E5"/>
          </w:tcPr>
          <w:p>
            <w:pPr>
              <w:spacing w:after="0"/>
              <w:rPr>
                <w:sz w:val="18"/>
                <w:szCs w:val="18"/>
                <w:color w:val="auto"/>
              </w:rPr>
            </w:pPr>
          </w:p>
        </w:tc>
        <w:tc>
          <w:tcPr>
            <w:tcW w:w="1920" w:type="dxa"/>
            <w:vAlign w:val="bottom"/>
            <w:gridSpan w:val="2"/>
            <w:vMerge w:val="restart"/>
            <w:shd w:val="clear" w:color="auto" w:fill="E5E5E5"/>
          </w:tcPr>
          <w:p>
            <w:pPr>
              <w:jc w:val="right"/>
              <w:ind w:right="50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6,725,391</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​security holders</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auto"/>
            </w:tcBorders>
            <w:gridSpan w:val="2"/>
            <w:vMerge w:val="continue"/>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vMerge w:val="continue"/>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 ​ ​</w:t>
            </w:r>
          </w:p>
        </w:tc>
        <w:tc>
          <w:tcPr>
            <w:tcW w:w="1920" w:type="dxa"/>
            <w:vAlign w:val="bottom"/>
            <w:tcBorders>
              <w:bottom w:val="single" w:sz="8" w:color="auto"/>
            </w:tcBorders>
            <w:gridSpan w:val="2"/>
            <w:vMerge w:val="continue"/>
            <w:shd w:val="clear" w:color="auto" w:fill="E5E5E5"/>
          </w:tcPr>
          <w:p>
            <w:pPr>
              <w:spacing w:after="0"/>
              <w:rPr>
                <w:sz w:val="19"/>
                <w:szCs w:val="19"/>
                <w:color w:val="auto"/>
              </w:rPr>
            </w:pP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auto"/>
            </w:tcBorders>
            <w:gridSpan w:val="2"/>
          </w:tcPr>
          <w:p>
            <w:pPr>
              <w:jc w:val="right"/>
              <w:ind w:right="558"/>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735,860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1920" w:type="dxa"/>
            <w:vAlign w:val="bottom"/>
            <w:tcBorders>
              <w:bottom w:val="single" w:sz="8" w:color="auto"/>
            </w:tcBorders>
            <w:gridSpan w:val="2"/>
          </w:tcPr>
          <w:p>
            <w:pPr>
              <w:jc w:val="right"/>
              <w:ind w:right="50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6,725,391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40" w:hanging="368"/>
        <w:spacing w:after="0"/>
        <w:tabs>
          <w:tab w:leader="none" w:pos="10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RSUs and the Converted PSUs. Additionally, 104,920 ordinary shares are issuable in respect of outstanding RSUs pursuant to the Endo Plan.</w:t>
      </w:r>
    </w:p>
    <w:p>
      <w:pPr>
        <w:spacing w:after="0" w:line="66" w:lineRule="exact"/>
        <w:rPr>
          <w:rFonts w:ascii="Arial" w:cs="Arial" w:eastAsia="Arial" w:hAnsi="Arial"/>
          <w:sz w:val="13"/>
          <w:szCs w:val="13"/>
          <w:color w:val="auto"/>
        </w:rPr>
      </w:pPr>
    </w:p>
    <w:p>
      <w:pPr>
        <w:ind w:left="1040" w:hanging="368"/>
        <w:spacing w:after="0"/>
        <w:tabs>
          <w:tab w:leader="none" w:pos="10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ordinary shares reserved for future issuance under the 2025 Plan.</w:t>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2025 Plan</w:t>
      </w:r>
    </w:p>
    <w:p>
      <w:pPr>
        <w:spacing w:after="0" w:line="112" w:lineRule="exact"/>
        <w:rPr>
          <w:sz w:val="20"/>
          <w:szCs w:val="20"/>
          <w:color w:val="auto"/>
        </w:rPr>
      </w:pPr>
    </w:p>
    <w:p>
      <w:pPr>
        <w:ind w:left="680" w:right="140"/>
        <w:spacing w:after="0" w:line="271" w:lineRule="auto"/>
        <w:rPr>
          <w:sz w:val="20"/>
          <w:szCs w:val="20"/>
          <w:color w:val="auto"/>
        </w:rPr>
      </w:pPr>
      <w:r>
        <w:rPr>
          <w:rFonts w:ascii="Arial" w:cs="Arial" w:eastAsia="Arial" w:hAnsi="Arial"/>
          <w:sz w:val="16"/>
          <w:szCs w:val="16"/>
          <w:color w:val="auto"/>
        </w:rPr>
        <w:t>On August 13, 2025, the Board adopted the 2025 Plan, which provides for the grant of stock options, stock appreciation rights, long-term performance awards and other share-based awards. The maximum number of ordinary shares to be issued as awards, subject to adjustment as provided under the terms of the 2025 Plan, is 6,936,576 ordinary shares (which reflects the adjustment for the Separation).</w:t>
      </w:r>
    </w:p>
    <w:p>
      <w:pPr>
        <w:spacing w:after="0" w:line="141" w:lineRule="exact"/>
        <w:rPr>
          <w:sz w:val="20"/>
          <w:szCs w:val="20"/>
          <w:color w:val="auto"/>
        </w:rPr>
      </w:pPr>
    </w:p>
    <w:p>
      <w:pPr>
        <w:ind w:left="680" w:right="80"/>
        <w:spacing w:after="0" w:line="269" w:lineRule="auto"/>
        <w:rPr>
          <w:sz w:val="20"/>
          <w:szCs w:val="20"/>
          <w:color w:val="auto"/>
        </w:rPr>
      </w:pPr>
      <w:r>
        <w:rPr>
          <w:rFonts w:ascii="Arial" w:cs="Arial" w:eastAsia="Arial" w:hAnsi="Arial"/>
          <w:sz w:val="16"/>
          <w:szCs w:val="16"/>
          <w:color w:val="auto"/>
        </w:rPr>
        <w:t>For descriptions of the treatment of the RSUs granted under the 2025 Plan under certain termination events or a change in control of our company, please see the sections entitled “Compensation of Non-Employee Directors — Post-Business Combination — 2025 Equity Awards,” “Compensation Discussion and Analysis — Post-Merger 2025 Executive Compensation Decisions — Employment Agreement with Mr. Olafsson” and “Compensation Discussion and Analysis — Post-Merger 2025 Executive Compensation Decisions — Employment Agreement with Ms. Stamoulis.”</w:t>
      </w:r>
    </w:p>
    <w:p>
      <w:pPr>
        <w:spacing w:after="0" w:line="143" w:lineRule="exact"/>
        <w:rPr>
          <w:sz w:val="20"/>
          <w:szCs w:val="20"/>
          <w:color w:val="auto"/>
        </w:rPr>
      </w:pPr>
    </w:p>
    <w:p>
      <w:pPr>
        <w:ind w:left="680" w:right="200"/>
        <w:spacing w:after="0" w:line="271" w:lineRule="auto"/>
        <w:rPr>
          <w:sz w:val="20"/>
          <w:szCs w:val="20"/>
          <w:color w:val="auto"/>
        </w:rPr>
      </w:pPr>
      <w:r>
        <w:rPr>
          <w:rFonts w:ascii="Arial" w:cs="Arial" w:eastAsia="Arial" w:hAnsi="Arial"/>
          <w:sz w:val="16"/>
          <w:szCs w:val="16"/>
          <w:color w:val="auto"/>
        </w:rPr>
        <w:t>Awards granted to executives under the 2025 Plan are subject to forfeiture and recoupment upon a termination of the executive for Cause (as defined in the 2025 Plan) or certain other circumstances under the terms of Keenova’s recoupment policy. For additional information, see the section entitled “Compensation Discussion and Analysis — Compensation Governance, Risk Mitigation and Shareholder Matters — Executive Financial Recoupment Program (“Clawback”).”</w:t>
      </w:r>
    </w:p>
    <w:p>
      <w:pPr>
        <w:spacing w:after="0" w:line="141" w:lineRule="exact"/>
        <w:rPr>
          <w:sz w:val="20"/>
          <w:szCs w:val="20"/>
          <w:color w:val="auto"/>
        </w:rPr>
      </w:pPr>
    </w:p>
    <w:p>
      <w:pPr>
        <w:ind w:left="680" w:right="80"/>
        <w:spacing w:after="0" w:line="280" w:lineRule="auto"/>
        <w:rPr>
          <w:sz w:val="20"/>
          <w:szCs w:val="20"/>
          <w:color w:val="auto"/>
        </w:rPr>
      </w:pPr>
      <w:r>
        <w:rPr>
          <w:rFonts w:ascii="Arial" w:cs="Arial" w:eastAsia="Arial" w:hAnsi="Arial"/>
          <w:sz w:val="15"/>
          <w:szCs w:val="15"/>
          <w:color w:val="auto"/>
        </w:rPr>
        <w:t>As described in more detail in the 2025 Plan, during the 12-month period following a participant’s termination of employment or service for any reason other than for Cause (and the absence of any Covenant Breach, as defined below), Keenova has a right but not an obligation to repurchase all or any portion of the participant’s vested ordinary shares at Fair Market Value (as defined in the 2025 Plan). In the event of a termination of the participant’s employment or service for Cause or for the material breach by the participant of any restrictive covenants in their operative agreements with Keenova (a “Covenant Breach”), Keenova has the right to repurchase the vested ordinary shares at the lesser of the price paid by the participant for the ordinary shares, which is expected to be $0, and the Fair Market Value of the ordinary shares. In recognition of the expected illiquidity of the ordinary shares, as further described in the applicable award agreements, grantees also have certain rights to require Keenova to repurchase at the Fair Market Value the vested ordinary shares within ninety days after each of the third and fifth anniversaries of the grant date of the award, provided the ordinary shares are not listed on a national securities exchange (within the meaning of the U.S. securities laws) and subject to, among other conditions, availability of sufficient distributable reserves under Irish law, such purchase not violating the terms of Keenova’s debt instruments and the Board’s determination that doing so would neither reasonably be expected to result in an event of default under Keenova’s debt instruments or otherwise impair Keenova’s ability to meet its obligations or operating goals.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​54 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7760"/>
        <w:spacing w:after="0"/>
        <w:rPr>
          <w:sz w:val="20"/>
          <w:szCs w:val="20"/>
          <w:color w:val="auto"/>
        </w:rPr>
      </w:pPr>
      <w:r>
        <w:rPr>
          <w:rFonts w:ascii="Arial" w:cs="Arial" w:eastAsia="Arial" w:hAnsi="Arial"/>
          <w:sz w:val="13"/>
          <w:szCs w:val="13"/>
          <w:color w:val="323232"/>
        </w:rPr>
        <w:t>Equity Compensation Plan Information</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2024 Plan</w:t>
      </w:r>
    </w:p>
    <w:p>
      <w:pPr>
        <w:spacing w:after="0" w:line="112" w:lineRule="exact"/>
        <w:rPr>
          <w:sz w:val="20"/>
          <w:szCs w:val="20"/>
          <w:color w:val="auto"/>
        </w:rPr>
      </w:pPr>
    </w:p>
    <w:p>
      <w:pPr>
        <w:ind w:left="680" w:right="100"/>
        <w:spacing w:after="0" w:line="264" w:lineRule="auto"/>
        <w:rPr>
          <w:sz w:val="20"/>
          <w:szCs w:val="20"/>
          <w:color w:val="auto"/>
        </w:rPr>
      </w:pPr>
      <w:r>
        <w:rPr>
          <w:rFonts w:ascii="Arial" w:cs="Arial" w:eastAsia="Arial" w:hAnsi="Arial"/>
          <w:sz w:val="16"/>
          <w:szCs w:val="16"/>
          <w:color w:val="auto"/>
        </w:rPr>
        <w:t>On February 2, 2024, the Board adopted the 2024 Plan and reserved an aggregate of 1,036,649 ordinary shares of the Company (subject to adjustment in accordance with the terms of the 2024 Plan) for the issuance of equity awards thereunder to executive officers and directors. Effective with the adoption of the 2025 Plan, no further awards may be granted under the 2024 Plan. While the 2024 Plan was not approved by the Company’s shareholders, it was adopted by the Board and the number of shares reserved was determined pursuant to the terms of the 2023 Plan of Reorganization, which required the Board to adopt a management incentive plan. The 2023 Plan of Reorganization was supported by the Company’s creditors holding a substantial majority of the Company’s first and second lien funded debt, and those creditors received 100% of the Company’s post-emergence equity (subject to dilution by CVRs and the 2024 Plan) in connection with emergence from the 2023 Bankruptcy Proceedings.</w:t>
      </w:r>
    </w:p>
    <w:p>
      <w:pPr>
        <w:spacing w:after="0" w:line="149" w:lineRule="exact"/>
        <w:rPr>
          <w:sz w:val="20"/>
          <w:szCs w:val="20"/>
          <w:color w:val="auto"/>
        </w:rPr>
      </w:pPr>
    </w:p>
    <w:p>
      <w:pPr>
        <w:ind w:left="680" w:right="60"/>
        <w:spacing w:after="0" w:line="291" w:lineRule="auto"/>
        <w:rPr>
          <w:sz w:val="20"/>
          <w:szCs w:val="20"/>
          <w:color w:val="auto"/>
        </w:rPr>
      </w:pPr>
      <w:r>
        <w:rPr>
          <w:rFonts w:ascii="Arial" w:cs="Arial" w:eastAsia="Arial" w:hAnsi="Arial"/>
          <w:sz w:val="15"/>
          <w:szCs w:val="15"/>
          <w:color w:val="auto"/>
        </w:rPr>
        <w:t>Pursuant to the terms of the 2024 Plan and the applicable award agreements thereunder, in February 2024, the Board granted equity awards to the Company’s executive officers and directors in an aggregate amount of 820,689 ordinary shares. For descriptions of the treatment of such equity awards under certain termination events, a change in control of our company or certain other significant events, please see the sections entitled “Compensation of Non-Employee Directors — Pre-Business Combination — 2024 Equity Awards” and “Executive Compensation — Potential Payments Upon Termination or Change in Control — Equity Grants.”</w:t>
      </w:r>
    </w:p>
    <w:p>
      <w:pPr>
        <w:spacing w:after="0" w:line="129" w:lineRule="exact"/>
        <w:rPr>
          <w:sz w:val="20"/>
          <w:szCs w:val="20"/>
          <w:color w:val="auto"/>
        </w:rPr>
      </w:pPr>
    </w:p>
    <w:p>
      <w:pPr>
        <w:ind w:left="680" w:right="240"/>
        <w:spacing w:after="0" w:line="295" w:lineRule="auto"/>
        <w:rPr>
          <w:sz w:val="20"/>
          <w:szCs w:val="20"/>
          <w:color w:val="auto"/>
        </w:rPr>
      </w:pPr>
      <w:r>
        <w:rPr>
          <w:rFonts w:ascii="Arial" w:cs="Arial" w:eastAsia="Arial" w:hAnsi="Arial"/>
          <w:sz w:val="15"/>
          <w:szCs w:val="15"/>
          <w:color w:val="auto"/>
        </w:rPr>
        <w:t>Awards granted to executives under the 2024 Plan and the applicable award agreements, are subject to forfeiture and recoupment upon a termination of the executive for Cause (as defined in the 2024 Plan) or certain other circumstances under the terms of Keenova’s recoupment policy. For additional information, see the section entitled “Compensation Discussion and Analysis — Compensation Governance, Risk Mitigation and Shareholder Matters — Executive Financial Recoupment Program (“Clawback”).”</w:t>
      </w:r>
    </w:p>
    <w:p>
      <w:pPr>
        <w:spacing w:after="0" w:line="124" w:lineRule="exact"/>
        <w:rPr>
          <w:sz w:val="20"/>
          <w:szCs w:val="20"/>
          <w:color w:val="auto"/>
        </w:rPr>
      </w:pPr>
    </w:p>
    <w:p>
      <w:pPr>
        <w:ind w:left="680" w:right="80"/>
        <w:spacing w:after="0" w:line="261" w:lineRule="auto"/>
        <w:rPr>
          <w:sz w:val="20"/>
          <w:szCs w:val="20"/>
          <w:color w:val="auto"/>
        </w:rPr>
      </w:pPr>
      <w:r>
        <w:rPr>
          <w:rFonts w:ascii="Arial" w:cs="Arial" w:eastAsia="Arial" w:hAnsi="Arial"/>
          <w:sz w:val="16"/>
          <w:szCs w:val="16"/>
          <w:color w:val="auto"/>
        </w:rPr>
        <w:t>As described in more detail in the 2024 Plan, during the 12-month period following a participant’s termination of employment or service for any reason other than for Cause (and the absence of any Covenant Breach), the Company has a right but not an obligation to repurchase all or any portion of the participant’s vested ordinary shares at Fair Market Value (as defined in the 2024 Plan). In the event of a termination of the participant’s employment or service for Cause or for a Covenant Breach, the Company has the right to repurchase the vested ordinary shares at the lesser of the price paid by the participant for the ordinary shares, which is expected to be $0, and the Fair Market Value of the ordinary shares. In recognition of the expected illiquidity of the ordinary shares following the vesting of certain awards granted under the 2024 Plan, grantees also have certain rights to require the Company to repurchase at the Fair Market Value the vested ordinary shares within ninety days after each of the third and fifth anniversaries of the grant date of the award, subject to, among other conditions, availability of sufficient distributable reserves under Irish law, such purchase not violating the terms of the Company’s debt instruments and the Board’s determination that doing so would neither reasonably be expected to result in an event of default under the Company’s debt instruments or otherwise impair the Company’s ability to meet its obligations or operating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55</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266065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Proposals Requiring Your Vote</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Proposals Requiring Your Vote</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Proposals 1(a) Through 1(i): Election of Directors</w:t>
      </w:r>
    </w:p>
    <w:p>
      <w:pPr>
        <w:spacing w:after="0" w:line="126" w:lineRule="exact"/>
        <w:rPr>
          <w:sz w:val="20"/>
          <w:szCs w:val="20"/>
          <w:color w:val="auto"/>
        </w:rPr>
      </w:pPr>
    </w:p>
    <w:p>
      <w:pPr>
        <w:ind w:left="680" w:right="140"/>
        <w:spacing w:after="0" w:line="265" w:lineRule="auto"/>
        <w:rPr>
          <w:sz w:val="20"/>
          <w:szCs w:val="20"/>
          <w:color w:val="auto"/>
        </w:rPr>
      </w:pPr>
      <w:r>
        <w:rPr>
          <w:rFonts w:ascii="Arial" w:cs="Arial" w:eastAsia="Arial" w:hAnsi="Arial"/>
          <w:sz w:val="16"/>
          <w:szCs w:val="16"/>
          <w:color w:val="auto"/>
        </w:rPr>
        <w:t>In accordance with the terms of the Memorandum and Articles of Association and upon the recommendation of the Governance and Compliance Committee, the Board has nominated for election at the 2026 Annual General Meeting a slate of nine nominees, all of whom are currently serving on the Board. The nominees are Paul M. Bisaro, Leslie Donato, Katina Dorton, Paul Efron, Scott Hirsch, Sophia Langlois, Sigurdur O. Olafsson, Marc Yoskowitz and Jonathan Zinman. Biographical information, including qualifications, regarding each of the nine nominees is set forth below.</w:t>
      </w:r>
    </w:p>
    <w:p>
      <w:pPr>
        <w:spacing w:after="0" w:line="145" w:lineRule="exact"/>
        <w:rPr>
          <w:sz w:val="20"/>
          <w:szCs w:val="20"/>
          <w:color w:val="auto"/>
        </w:rPr>
      </w:pPr>
    </w:p>
    <w:p>
      <w:pPr>
        <w:ind w:left="680" w:right="60"/>
        <w:spacing w:after="0" w:line="269" w:lineRule="auto"/>
        <w:rPr>
          <w:sz w:val="20"/>
          <w:szCs w:val="20"/>
          <w:color w:val="auto"/>
        </w:rPr>
      </w:pPr>
      <w:r>
        <w:rPr>
          <w:rFonts w:ascii="Arial" w:cs="Arial" w:eastAsia="Arial" w:hAnsi="Arial"/>
          <w:sz w:val="16"/>
          <w:szCs w:val="16"/>
          <w:color w:val="auto"/>
        </w:rPr>
        <w:t>The election of directors will take place at the Annual General Meeting. In order to be elected as a director, each nominee must receive the affirmative vote of a majority of the votes cast by the holders of ordinary shares represented at the Annual General Meeting in person or by proxy. Shareholders are entitled to one vote per share for each of the nine nominees. We are not aware of any reason why any of the nominees will not be able to serve if elected. Each of the directors elected will serve until the conclusion of the 2027 Annual General Meeting or until his or her earlier death, resignation or removal.</w:t>
      </w:r>
    </w:p>
    <w:p>
      <w:pPr>
        <w:spacing w:after="0" w:line="184"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3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00514B"/>
        </w:rPr>
        <w:t>Proposal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-120650</wp:posOffset>
            </wp:positionV>
            <wp:extent cx="985520" cy="9861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85" w:lineRule="exact"/>
        <w:rPr>
          <w:sz w:val="20"/>
          <w:szCs w:val="20"/>
          <w:color w:val="auto"/>
        </w:rPr>
      </w:pPr>
    </w:p>
    <w:p>
      <w:pPr>
        <w:ind w:left="2540" w:right="300"/>
        <w:spacing w:after="0" w:line="252" w:lineRule="auto"/>
        <w:rPr>
          <w:sz w:val="20"/>
          <w:szCs w:val="20"/>
          <w:color w:val="auto"/>
        </w:rPr>
      </w:pPr>
      <w:r>
        <w:rPr>
          <w:rFonts w:ascii="Arial" w:cs="Arial" w:eastAsia="Arial" w:hAnsi="Arial"/>
          <w:sz w:val="15"/>
          <w:szCs w:val="15"/>
          <w:color w:val="auto"/>
        </w:rPr>
        <w:t>Paul M. Bisaro served as the Chairman of the Board of Directors from February 2024 to July 2025, a position he previously held from June 2022 until November 2023. Mr. Bisaro currently serves on the boards of directors of Pleo Pharma, Zoetis Inc., and Myriad Genetics, Inc., positions he has held since April 2020, May 2015 and October 2022, respectively. Mr. Bisaro also served on the boards of directors of TherapeuticsMD, from 2020 to 2022, and Zimmer Biomet Holdings, Inc., from 2013 to 2017.</w:t>
      </w:r>
    </w:p>
    <w:p>
      <w:pPr>
        <w:spacing w:after="0" w:line="1" w:lineRule="exact"/>
        <w:rPr>
          <w:sz w:val="20"/>
          <w:szCs w:val="20"/>
          <w:color w:val="auto"/>
        </w:rPr>
      </w:pPr>
    </w:p>
    <w:p>
      <w:pPr>
        <w:ind w:left="2540" w:right="540"/>
        <w:spacing w:after="0" w:line="253" w:lineRule="auto"/>
        <w:rPr>
          <w:sz w:val="20"/>
          <w:szCs w:val="20"/>
          <w:color w:val="auto"/>
        </w:rPr>
      </w:pPr>
      <w:r>
        <w:rPr>
          <w:rFonts w:ascii="Arial" w:cs="Arial" w:eastAsia="Arial" w:hAnsi="Arial"/>
          <w:sz w:val="15"/>
          <w:szCs w:val="15"/>
          <w:color w:val="auto"/>
        </w:rPr>
        <w:t>Mr. Bisaro’s executive work experience also includes serving as executive chairman of Amneal Pharmaceuticals, Inc., from 2018 to 2019, and Allergan, from 2014 to 2016. He also served as chief</w:t>
      </w:r>
    </w:p>
    <w:p>
      <w:pPr>
        <w:spacing w:after="0" w:line="1" w:lineRule="exact"/>
        <w:rPr>
          <w:sz w:val="20"/>
          <w:szCs w:val="20"/>
          <w:color w:val="auto"/>
        </w:rPr>
      </w:pPr>
    </w:p>
    <w:p>
      <w:pPr>
        <w:ind w:left="2540" w:right="240" w:hanging="1642"/>
        <w:spacing w:after="0" w:line="241" w:lineRule="auto"/>
        <w:tabs>
          <w:tab w:leader="none" w:pos="2520" w:val="left"/>
        </w:tabs>
        <w:rPr>
          <w:sz w:val="20"/>
          <w:szCs w:val="20"/>
          <w:color w:val="auto"/>
        </w:rPr>
      </w:pPr>
      <w:r>
        <w:rPr>
          <w:rFonts w:ascii="Arial" w:cs="Arial" w:eastAsia="Arial" w:hAnsi="Arial"/>
          <w:sz w:val="32"/>
          <w:szCs w:val="32"/>
          <w:b w:val="1"/>
          <w:bCs w:val="1"/>
          <w:color w:val="auto"/>
          <w:vertAlign w:val="subscript"/>
        </w:rPr>
        <w:t>PAUL M. BISARO</w:t>
      </w:r>
      <w:r>
        <w:rPr>
          <w:sz w:val="20"/>
          <w:szCs w:val="20"/>
          <w:color w:val="auto"/>
        </w:rPr>
        <w:tab/>
      </w:r>
      <w:r>
        <w:rPr>
          <w:rFonts w:ascii="Arial" w:cs="Arial" w:eastAsia="Arial" w:hAnsi="Arial"/>
          <w:sz w:val="16"/>
          <w:szCs w:val="16"/>
          <w:color w:val="auto"/>
        </w:rPr>
        <w:t>executive officer of Actavis plc (formerly Watson Pharmaceuticals) and Impax Laboratories. Mr. Bisaro holds an undergraduate degree from the University of Michigan and a Juris Doctor degree from Catholic University of America. Mr. Bisaro’s qualifications to serve on our Board include more than 30 years of business, management and leadership experience in the pharmaceutical industry.</w:t>
      </w:r>
    </w:p>
    <w:p>
      <w:pPr>
        <w:spacing w:after="0" w:line="95"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-107315</wp:posOffset>
            </wp:positionV>
            <wp:extent cx="48431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5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00514B"/>
        </w:rPr>
        <w:t>Proposal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-118745</wp:posOffset>
            </wp:positionV>
            <wp:extent cx="985520" cy="9861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02" w:lineRule="exact"/>
        <w:rPr>
          <w:sz w:val="20"/>
          <w:szCs w:val="20"/>
          <w:color w:val="auto"/>
        </w:rPr>
      </w:pPr>
    </w:p>
    <w:p>
      <w:pPr>
        <w:ind w:left="2540" w:right="160"/>
        <w:spacing w:after="0" w:line="252" w:lineRule="auto"/>
        <w:rPr>
          <w:sz w:val="20"/>
          <w:szCs w:val="20"/>
          <w:color w:val="auto"/>
        </w:rPr>
      </w:pPr>
      <w:r>
        <w:rPr>
          <w:rFonts w:ascii="Arial" w:cs="Arial" w:eastAsia="Arial" w:hAnsi="Arial"/>
          <w:sz w:val="15"/>
          <w:szCs w:val="15"/>
          <w:color w:val="auto"/>
        </w:rPr>
        <w:t>Leslie Donato has served as a director since July 2025. She most recently served as executive vice president and chief strategy officer of Cencora Inc., a pharmaceutical wholesaler, distribution and solutions company, from 2019 to 2024. Prior to joining Cencora, she held various leadership roles at Bayer Healthcare Pharmaceuticals from May 2009 to June 2019, including as vice president of strategy, pharmaceuticals division, vice president of strategy, Bayer Healthcare US and vice president and general manager of neurology &amp; hematology. She also worked for McKinsey &amp; Company where she was a partner in the Healthcare Practice. Ms. Donato currently serves on the board of Elusa Health, a privately</w:t>
      </w:r>
    </w:p>
    <w:p>
      <w:pPr>
        <w:spacing w:after="0" w:line="4" w:lineRule="exact"/>
        <w:rPr>
          <w:sz w:val="20"/>
          <w:szCs w:val="20"/>
          <w:color w:val="auto"/>
        </w:rPr>
      </w:pPr>
    </w:p>
    <w:p>
      <w:pPr>
        <w:ind w:left="2540" w:right="460" w:hanging="1628"/>
        <w:spacing w:after="0" w:line="253" w:lineRule="auto"/>
        <w:tabs>
          <w:tab w:leader="none" w:pos="2520" w:val="left"/>
        </w:tabs>
        <w:rPr>
          <w:sz w:val="20"/>
          <w:szCs w:val="20"/>
          <w:color w:val="auto"/>
        </w:rPr>
      </w:pPr>
      <w:r>
        <w:rPr>
          <w:rFonts w:ascii="Arial" w:cs="Arial" w:eastAsia="Arial" w:hAnsi="Arial"/>
          <w:sz w:val="32"/>
          <w:szCs w:val="32"/>
          <w:b w:val="1"/>
          <w:bCs w:val="1"/>
          <w:color w:val="auto"/>
          <w:vertAlign w:val="subscript"/>
        </w:rPr>
        <w:t>LESLIE DONATO</w:t>
      </w:r>
      <w:r>
        <w:rPr>
          <w:sz w:val="20"/>
          <w:szCs w:val="20"/>
          <w:color w:val="auto"/>
        </w:rPr>
        <w:tab/>
      </w:r>
      <w:r>
        <w:rPr>
          <w:rFonts w:ascii="Arial" w:cs="Arial" w:eastAsia="Arial" w:hAnsi="Arial"/>
          <w:sz w:val="15"/>
          <w:szCs w:val="15"/>
          <w:color w:val="auto"/>
        </w:rPr>
        <w:t>held IT services provider, since 2025, on the board of trustees of Virtua Health System, a nonprofit healthcare system, since 2022, and on the board of RIS Rx, a healthcare technology company, since</w:t>
      </w:r>
    </w:p>
    <w:p>
      <w:pPr>
        <w:spacing w:after="0" w:line="1" w:lineRule="exact"/>
        <w:rPr>
          <w:sz w:val="20"/>
          <w:szCs w:val="20"/>
          <w:color w:val="auto"/>
        </w:rPr>
      </w:pPr>
    </w:p>
    <w:p>
      <w:pPr>
        <w:ind w:left="2540" w:right="400"/>
        <w:spacing w:after="0" w:line="233" w:lineRule="auto"/>
        <w:rPr>
          <w:sz w:val="20"/>
          <w:szCs w:val="20"/>
          <w:color w:val="auto"/>
        </w:rPr>
      </w:pPr>
      <w:r>
        <w:rPr>
          <w:rFonts w:ascii="Arial" w:cs="Arial" w:eastAsia="Arial" w:hAnsi="Arial"/>
          <w:sz w:val="16"/>
          <w:szCs w:val="16"/>
          <w:color w:val="auto"/>
        </w:rPr>
        <w:t>December 2025. She previously served on the board of One Oncology, management services organization, from 2023 to 2024, and Edmund Optics, a global optical solutions provider, from 2019 to 2022. Ms. Donato earned a Bachelor of Arts degree with distinction from Swarthmore College and a Master of Business Administration from the Wharton School of the University of Pennsylvania.</w:t>
      </w:r>
    </w:p>
    <w:p>
      <w:pPr>
        <w:spacing w:after="0" w:line="1" w:lineRule="exact"/>
        <w:rPr>
          <w:sz w:val="20"/>
          <w:szCs w:val="20"/>
          <w:color w:val="auto"/>
        </w:rPr>
      </w:pPr>
    </w:p>
    <w:p>
      <w:pPr>
        <w:ind w:left="2540" w:right="380"/>
        <w:spacing w:after="0" w:line="247" w:lineRule="auto"/>
        <w:rPr>
          <w:sz w:val="20"/>
          <w:szCs w:val="20"/>
          <w:color w:val="auto"/>
        </w:rPr>
      </w:pPr>
      <w:r>
        <w:rPr>
          <w:rFonts w:ascii="Arial" w:cs="Arial" w:eastAsia="Arial" w:hAnsi="Arial"/>
          <w:sz w:val="16"/>
          <w:szCs w:val="16"/>
          <w:color w:val="auto"/>
        </w:rPr>
        <w:t>Ms. Donato’s qualifications to serve on our Board include her 30 years of experience in the healthcare industry and her broad expertise across strategy, corporate development, global marketing, commercialization and new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58420</wp:posOffset>
            </wp:positionV>
            <wp:extent cx="48431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​56 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22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16"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3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00514B"/>
        </w:rPr>
        <w:t>Proposal 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-120650</wp:posOffset>
            </wp:positionV>
            <wp:extent cx="985520" cy="9855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85520" cy="985520"/>
                    </a:xfrm>
                    <a:prstGeom prst="rect">
                      <a:avLst/>
                    </a:prstGeom>
                    <a:noFill/>
                  </pic:spPr>
                </pic:pic>
              </a:graphicData>
            </a:graphic>
          </wp:anchor>
        </w:drawing>
      </w:r>
    </w:p>
    <w:p>
      <w:pPr>
        <w:spacing w:after="0" w:line="85" w:lineRule="exact"/>
        <w:rPr>
          <w:sz w:val="20"/>
          <w:szCs w:val="20"/>
          <w:color w:val="auto"/>
        </w:rPr>
      </w:pPr>
    </w:p>
    <w:p>
      <w:pPr>
        <w:ind w:left="2540" w:right="160"/>
        <w:spacing w:after="0" w:line="252" w:lineRule="auto"/>
        <w:rPr>
          <w:sz w:val="20"/>
          <w:szCs w:val="20"/>
          <w:color w:val="auto"/>
        </w:rPr>
      </w:pPr>
      <w:r>
        <w:rPr>
          <w:rFonts w:ascii="Arial" w:cs="Arial" w:eastAsia="Arial" w:hAnsi="Arial"/>
          <w:sz w:val="15"/>
          <w:szCs w:val="15"/>
          <w:color w:val="auto"/>
        </w:rPr>
        <w:t>Katina Dorton has served as a director since February 2024. Ms. Dorton most recently served as chief financial officer of NodThera, a private biotechnology company, from 2020 to 2022. She previously served as chief financial officer of Repare Therapeutics, from 2019 to 2020, AVROBIO, from 2017 to 2019 and Inmatics, from 2015 to 2017. Earlier in her career, she was a healthcare investment banker at Morgan Stanley and Needham, and she practiced M&amp;A and securities law at Sullivan and Cromwell. In addition to the Keenova Board, Ms. Dorton currently serves on the boards of directors of Fulcrum Therapeutics, TScan Therapeutics, Sonoma Bio, and Prelude Therapeutics, positions she has held since</w:t>
      </w:r>
    </w:p>
    <w:p>
      <w:pPr>
        <w:spacing w:after="0" w:line="4" w:lineRule="exact"/>
        <w:rPr>
          <w:sz w:val="20"/>
          <w:szCs w:val="20"/>
          <w:color w:val="auto"/>
        </w:rPr>
      </w:pPr>
    </w:p>
    <w:p>
      <w:pPr>
        <w:ind w:left="2540" w:right="440" w:hanging="1650"/>
        <w:spacing w:after="0" w:line="253" w:lineRule="auto"/>
        <w:tabs>
          <w:tab w:leader="none" w:pos="2520" w:val="left"/>
        </w:tabs>
        <w:rPr>
          <w:sz w:val="20"/>
          <w:szCs w:val="20"/>
          <w:color w:val="auto"/>
        </w:rPr>
      </w:pPr>
      <w:r>
        <w:rPr>
          <w:rFonts w:ascii="Arial" w:cs="Arial" w:eastAsia="Arial" w:hAnsi="Arial"/>
          <w:sz w:val="32"/>
          <w:szCs w:val="32"/>
          <w:b w:val="1"/>
          <w:bCs w:val="1"/>
          <w:color w:val="auto"/>
          <w:vertAlign w:val="subscript"/>
        </w:rPr>
        <w:t>KATINA DORTON</w:t>
      </w:r>
      <w:r>
        <w:rPr>
          <w:sz w:val="20"/>
          <w:szCs w:val="20"/>
          <w:color w:val="auto"/>
        </w:rPr>
        <w:tab/>
      </w:r>
      <w:r>
        <w:rPr>
          <w:rFonts w:ascii="Arial" w:cs="Arial" w:eastAsia="Arial" w:hAnsi="Arial"/>
          <w:sz w:val="15"/>
          <w:szCs w:val="15"/>
          <w:color w:val="auto"/>
        </w:rPr>
        <w:t>2020, 2021, 2024 and 2025 respectively, and previously served on the boards of directors of Pandion Therapeutics, from 2020 until its acquisition by Merck in 2021, and US Ecology, from 2015 until its</w:t>
      </w:r>
    </w:p>
    <w:p>
      <w:pPr>
        <w:spacing w:after="0" w:line="1" w:lineRule="exact"/>
        <w:rPr>
          <w:sz w:val="20"/>
          <w:szCs w:val="20"/>
          <w:color w:val="auto"/>
        </w:rPr>
      </w:pPr>
    </w:p>
    <w:p>
      <w:pPr>
        <w:ind w:left="2540" w:right="240"/>
        <w:spacing w:after="0" w:line="257" w:lineRule="auto"/>
        <w:rPr>
          <w:sz w:val="20"/>
          <w:szCs w:val="20"/>
          <w:color w:val="auto"/>
        </w:rPr>
      </w:pPr>
      <w:r>
        <w:rPr>
          <w:rFonts w:ascii="Arial" w:cs="Arial" w:eastAsia="Arial" w:hAnsi="Arial"/>
          <w:sz w:val="15"/>
          <w:szCs w:val="15"/>
          <w:color w:val="auto"/>
        </w:rPr>
        <w:t>acquisition by Republic Services in 2022. Ms. Dorton holds a Bachelor of Arts degree from Duke University, a Master of Business Administration degree from George Washington University and a Juris Doctor degree from the University of Virginia. Ms. Dorton’s qualifications to serve on our Board include more than 30 years of finance and healthcare experience in leadership positions in areas of fundraising, mergers and acquisitions and business development. Ms. Dorton is NACD Directorship Certified.</w:t>
      </w:r>
    </w:p>
    <w:p>
      <w:pPr>
        <w:spacing w:after="0" w:line="86"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-107315</wp:posOffset>
            </wp:positionV>
            <wp:extent cx="48431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5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00514B"/>
        </w:rPr>
        <w:t>Proposal 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-118745</wp:posOffset>
            </wp:positionV>
            <wp:extent cx="985520" cy="9861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02" w:lineRule="exact"/>
        <w:rPr>
          <w:sz w:val="20"/>
          <w:szCs w:val="20"/>
          <w:color w:val="auto"/>
        </w:rPr>
      </w:pPr>
    </w:p>
    <w:p>
      <w:pPr>
        <w:ind w:left="2540" w:right="260"/>
        <w:spacing w:after="0" w:line="236" w:lineRule="auto"/>
        <w:rPr>
          <w:sz w:val="20"/>
          <w:szCs w:val="20"/>
          <w:color w:val="auto"/>
        </w:rPr>
      </w:pPr>
      <w:r>
        <w:rPr>
          <w:rFonts w:ascii="Arial" w:cs="Arial" w:eastAsia="Arial" w:hAnsi="Arial"/>
          <w:sz w:val="16"/>
          <w:szCs w:val="16"/>
          <w:color w:val="auto"/>
        </w:rPr>
        <w:t>Paul Efron has served as a director since July 2025 and served as a director of Endo from April 2024 to July 2025. He has served as a senior adviser to Star Mountain Capital since February 2026. Mr. Efron previously served as executive chairman of Oodles Energy, Inc., which installs and operates fast DC chargers in apartments and hotels. He served in that role from when he co-founded the company in December 2020 until December 2024. From 1984 to 2022, Mr. Efron worked in a variety of capacities at Goldman Sachs &amp; Company. He was elected general partner of the firm in 1998. He ran a variety of businesses for the firm, including Debt Capital Markets in London, New Product Development for the</w:t>
      </w:r>
    </w:p>
    <w:p>
      <w:pPr>
        <w:spacing w:after="0" w:line="5" w:lineRule="exact"/>
        <w:rPr>
          <w:sz w:val="20"/>
          <w:szCs w:val="20"/>
          <w:color w:val="auto"/>
        </w:rPr>
      </w:pPr>
    </w:p>
    <w:p>
      <w:pPr>
        <w:ind w:left="2540" w:right="560" w:hanging="1502"/>
        <w:spacing w:after="0" w:line="253" w:lineRule="auto"/>
        <w:tabs>
          <w:tab w:leader="none" w:pos="2520" w:val="left"/>
        </w:tabs>
        <w:rPr>
          <w:sz w:val="20"/>
          <w:szCs w:val="20"/>
          <w:color w:val="auto"/>
        </w:rPr>
      </w:pPr>
      <w:r>
        <w:rPr>
          <w:rFonts w:ascii="Arial" w:cs="Arial" w:eastAsia="Arial" w:hAnsi="Arial"/>
          <w:sz w:val="32"/>
          <w:szCs w:val="32"/>
          <w:b w:val="1"/>
          <w:bCs w:val="1"/>
          <w:color w:val="auto"/>
          <w:vertAlign w:val="subscript"/>
        </w:rPr>
        <w:t>PAUL EFRON</w:t>
      </w:r>
      <w:r>
        <w:rPr>
          <w:sz w:val="20"/>
          <w:szCs w:val="20"/>
          <w:color w:val="auto"/>
        </w:rPr>
        <w:tab/>
      </w:r>
      <w:r>
        <w:rPr>
          <w:rFonts w:ascii="Arial" w:cs="Arial" w:eastAsia="Arial" w:hAnsi="Arial"/>
          <w:sz w:val="15"/>
          <w:szCs w:val="15"/>
          <w:color w:val="auto"/>
        </w:rPr>
        <w:t>Investment Banking Division and Leveraged Finance. Mr. Efron served for 20 years on the firmwide capital committee, which reviewed the firm’s underwriting and fixed income capital commitments.</w:t>
      </w:r>
    </w:p>
    <w:p>
      <w:pPr>
        <w:spacing w:after="0" w:line="1" w:lineRule="exact"/>
        <w:rPr>
          <w:sz w:val="20"/>
          <w:szCs w:val="20"/>
          <w:color w:val="auto"/>
        </w:rPr>
      </w:pPr>
    </w:p>
    <w:p>
      <w:pPr>
        <w:ind w:left="2540" w:right="280"/>
        <w:spacing w:after="0" w:line="236" w:lineRule="auto"/>
        <w:rPr>
          <w:sz w:val="20"/>
          <w:szCs w:val="20"/>
          <w:color w:val="auto"/>
        </w:rPr>
      </w:pPr>
      <w:r>
        <w:rPr>
          <w:rFonts w:ascii="Arial" w:cs="Arial" w:eastAsia="Arial" w:hAnsi="Arial"/>
          <w:sz w:val="16"/>
          <w:szCs w:val="16"/>
          <w:color w:val="auto"/>
        </w:rPr>
        <w:t>Mr. Efron has served on the board of directors of a number of private entities and was the Chairman of the Board of Trustees of his Alma Mater, Pomona College. Mr. Efron holds a Bachelor of Arts degree from Pomona College, where he graduated cum laude and a Master of Business Administration degree from the Wharton School of the University of Pennsylvania, where he was on the Director’s Honor List. Mr. Efron’s qualifications to serve on our Board include his extensive leadership and management experience and his extensive capital markets experience.</w:t>
      </w:r>
    </w:p>
    <w:p>
      <w:pPr>
        <w:spacing w:after="0" w:line="100"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-107315</wp:posOffset>
            </wp:positionV>
            <wp:extent cx="48431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5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00514B"/>
        </w:rPr>
        <w:t>Proposal 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-118745</wp:posOffset>
            </wp:positionV>
            <wp:extent cx="985520" cy="9861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02" w:lineRule="exact"/>
        <w:rPr>
          <w:sz w:val="20"/>
          <w:szCs w:val="20"/>
          <w:color w:val="auto"/>
        </w:rPr>
      </w:pPr>
    </w:p>
    <w:p>
      <w:pPr>
        <w:ind w:left="2540" w:right="220"/>
        <w:spacing w:after="0" w:line="252" w:lineRule="auto"/>
        <w:rPr>
          <w:sz w:val="20"/>
          <w:szCs w:val="20"/>
          <w:color w:val="auto"/>
        </w:rPr>
      </w:pPr>
      <w:r>
        <w:rPr>
          <w:rFonts w:ascii="Arial" w:cs="Arial" w:eastAsia="Arial" w:hAnsi="Arial"/>
          <w:sz w:val="15"/>
          <w:szCs w:val="15"/>
          <w:color w:val="auto"/>
        </w:rPr>
        <w:t>Scott Hirsch has served as a director since July 2025. He served as a director of Endo from April 2024, and interim CEO of Endo from August 2024 to July 2025. Mr. Hirsch has over 20 years of experience in healthcare operations, investment management and financial services. He has served as an executive operator and board member for privately held companies within Blackstone, Bain Capital and Lauder Partner portfolios. From March 2023 to May 2024, Mr. Hirsch served as an operating officer of Quva Pharmaceuticals. From September 2021 to August 2022, Mr. Hirsch was the chief executive officer of Solta Medical, where he led the global company operating in over 50 countries. Prior to Solta, Mr. Hirsch</w:t>
      </w:r>
    </w:p>
    <w:p>
      <w:pPr>
        <w:spacing w:after="0" w:line="4" w:lineRule="exact"/>
        <w:rPr>
          <w:sz w:val="20"/>
          <w:szCs w:val="20"/>
          <w:color w:val="auto"/>
        </w:rPr>
      </w:pPr>
    </w:p>
    <w:p>
      <w:pPr>
        <w:ind w:left="2540" w:right="300" w:hanging="1587"/>
        <w:spacing w:after="0" w:line="253" w:lineRule="auto"/>
        <w:tabs>
          <w:tab w:leader="none" w:pos="2520" w:val="left"/>
        </w:tabs>
        <w:rPr>
          <w:sz w:val="20"/>
          <w:szCs w:val="20"/>
          <w:color w:val="auto"/>
        </w:rPr>
      </w:pPr>
      <w:r>
        <w:rPr>
          <w:rFonts w:ascii="Arial" w:cs="Arial" w:eastAsia="Arial" w:hAnsi="Arial"/>
          <w:sz w:val="32"/>
          <w:szCs w:val="32"/>
          <w:b w:val="1"/>
          <w:bCs w:val="1"/>
          <w:color w:val="auto"/>
          <w:vertAlign w:val="subscript"/>
        </w:rPr>
        <w:t>SCOTT HIRSCH</w:t>
      </w:r>
      <w:r>
        <w:rPr>
          <w:sz w:val="20"/>
          <w:szCs w:val="20"/>
          <w:color w:val="auto"/>
        </w:rPr>
        <w:tab/>
      </w:r>
      <w:r>
        <w:rPr>
          <w:rFonts w:ascii="Arial" w:cs="Arial" w:eastAsia="Arial" w:hAnsi="Arial"/>
          <w:sz w:val="15"/>
          <w:szCs w:val="15"/>
          <w:color w:val="auto"/>
        </w:rPr>
        <w:t>was the president of the Ortho Dermatologics and OraPharma business segments and the chief business officer of Bausch Health/Bausch &amp; Lomb. Prior to Bausch, Mr. Hirsch was a portfolio manager</w:t>
      </w:r>
    </w:p>
    <w:p>
      <w:pPr>
        <w:spacing w:after="0" w:line="1" w:lineRule="exact"/>
        <w:rPr>
          <w:sz w:val="20"/>
          <w:szCs w:val="20"/>
          <w:color w:val="auto"/>
        </w:rPr>
      </w:pPr>
    </w:p>
    <w:p>
      <w:pPr>
        <w:ind w:left="2540" w:right="340"/>
        <w:spacing w:after="0" w:line="238" w:lineRule="auto"/>
        <w:rPr>
          <w:sz w:val="20"/>
          <w:szCs w:val="20"/>
          <w:color w:val="auto"/>
        </w:rPr>
      </w:pPr>
      <w:r>
        <w:rPr>
          <w:rFonts w:ascii="Arial" w:cs="Arial" w:eastAsia="Arial" w:hAnsi="Arial"/>
          <w:sz w:val="16"/>
          <w:szCs w:val="16"/>
          <w:color w:val="auto"/>
        </w:rPr>
        <w:t>at Citadel’s Surveyor Capital fund overseeing investment and risk management decisions for a healthcare portfolio. Mr. Hirsch started his career on Wall Street in the investment banking group of Credit Suisse, where he was recognized by Institutional Investor magazine as a top Equity Research Analyst. Mr. Hirsch holds a Master of Business Administration in Healthcare Management and Finance from the Wharton School and Bachelor of Fine Arts with honors from The Rhode Island School of Design. Mr. Hirsch’s qualifications to serve on our Board include his extensive leadership and management experience in the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62230</wp:posOffset>
            </wp:positionV>
            <wp:extent cx="48431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57</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16"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3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00514B"/>
        </w:rPr>
        <w:t>Proposal 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-120650</wp:posOffset>
            </wp:positionV>
            <wp:extent cx="985520" cy="9855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85520" cy="985520"/>
                    </a:xfrm>
                    <a:prstGeom prst="rect">
                      <a:avLst/>
                    </a:prstGeom>
                    <a:noFill/>
                  </pic:spPr>
                </pic:pic>
              </a:graphicData>
            </a:graphic>
          </wp:anchor>
        </w:drawing>
      </w:r>
    </w:p>
    <w:p>
      <w:pPr>
        <w:spacing w:after="0" w:line="85" w:lineRule="exact"/>
        <w:rPr>
          <w:sz w:val="20"/>
          <w:szCs w:val="20"/>
          <w:color w:val="auto"/>
        </w:rPr>
      </w:pPr>
    </w:p>
    <w:p>
      <w:pPr>
        <w:ind w:left="2540" w:right="200"/>
        <w:spacing w:after="0" w:line="236" w:lineRule="auto"/>
        <w:rPr>
          <w:sz w:val="20"/>
          <w:szCs w:val="20"/>
          <w:color w:val="auto"/>
        </w:rPr>
      </w:pPr>
      <w:r>
        <w:rPr>
          <w:rFonts w:ascii="Arial" w:cs="Arial" w:eastAsia="Arial" w:hAnsi="Arial"/>
          <w:sz w:val="16"/>
          <w:szCs w:val="16"/>
          <w:color w:val="auto"/>
        </w:rPr>
        <w:t>Sophia Langlois has served as a director since July 2025. She served as a director of Endo from April 2024 to July 2025. She has served as a board member, a compensation committee member and chair of the audit committee for Alaris Equity Partners, since July 2020, and also a board member, chair of the corporate governance and nomination committee and audit committee member of Pason Systems Inc. since May 2024. Ms. Langlois has also served on the board of TELUS Spark Science Centre, since May 2020 and was appointed the chair of the Board in June 2025. Her previous board experience includes Loop Energy Inc., from February 2021 to July 2024, and Essential Energy Services Ltd., from</w:t>
      </w:r>
    </w:p>
    <w:p>
      <w:pPr>
        <w:spacing w:after="0" w:line="5" w:lineRule="exact"/>
        <w:rPr>
          <w:sz w:val="20"/>
          <w:szCs w:val="20"/>
          <w:color w:val="auto"/>
        </w:rPr>
      </w:pPr>
    </w:p>
    <w:p>
      <w:pPr>
        <w:jc w:val="right"/>
        <w:ind w:left="820" w:right="500"/>
        <w:spacing w:after="0" w:line="185" w:lineRule="auto"/>
        <w:rPr>
          <w:sz w:val="20"/>
          <w:szCs w:val="20"/>
          <w:color w:val="auto"/>
        </w:rPr>
      </w:pPr>
      <w:r>
        <w:rPr>
          <w:rFonts w:ascii="Arial" w:cs="Arial" w:eastAsia="Arial" w:hAnsi="Arial"/>
          <w:sz w:val="27"/>
          <w:szCs w:val="27"/>
          <w:b w:val="1"/>
          <w:bCs w:val="1"/>
          <w:color w:val="auto"/>
          <w:vertAlign w:val="subscript"/>
        </w:rPr>
        <w:t>SOPHIA LANGLOIS</w:t>
      </w:r>
      <w:r>
        <w:rPr>
          <w:rFonts w:ascii="Arial" w:cs="Arial" w:eastAsia="Arial" w:hAnsi="Arial"/>
          <w:sz w:val="14"/>
          <w:szCs w:val="14"/>
          <w:color w:val="auto"/>
        </w:rPr>
        <w:t xml:space="preserve">   November 2022 to November 2023, where she chaired both audit committees. As a public company audit partner with KPMG LLP in Calgary from 2006 to 2020, she served domestic, cross-border and</w:t>
      </w:r>
    </w:p>
    <w:p>
      <w:pPr>
        <w:spacing w:after="0" w:line="1" w:lineRule="exact"/>
        <w:rPr>
          <w:sz w:val="20"/>
          <w:szCs w:val="20"/>
          <w:color w:val="auto"/>
        </w:rPr>
      </w:pPr>
    </w:p>
    <w:p>
      <w:pPr>
        <w:ind w:left="2540" w:right="180"/>
        <w:spacing w:after="0" w:line="248" w:lineRule="auto"/>
        <w:rPr>
          <w:sz w:val="20"/>
          <w:szCs w:val="20"/>
          <w:color w:val="auto"/>
        </w:rPr>
      </w:pPr>
      <w:r>
        <w:rPr>
          <w:rFonts w:ascii="Arial" w:cs="Arial" w:eastAsia="Arial" w:hAnsi="Arial"/>
          <w:sz w:val="15"/>
          <w:szCs w:val="15"/>
          <w:color w:val="auto"/>
        </w:rPr>
        <w:t>international companies across numerous industry sectors. She also led the corporate services group for KPMG Calgary and was the KPMG national audit partner in charge of people strategy for three years. She received her Bachelor of Commerce degree from the University of Calgary, holds a Chartered Professional Accountant designation and is a member of the Human Resources Institute of Alberta.</w:t>
      </w:r>
    </w:p>
    <w:p>
      <w:pPr>
        <w:spacing w:after="0" w:line="3" w:lineRule="exact"/>
        <w:rPr>
          <w:sz w:val="20"/>
          <w:szCs w:val="20"/>
          <w:color w:val="auto"/>
        </w:rPr>
      </w:pPr>
    </w:p>
    <w:p>
      <w:pPr>
        <w:ind w:left="2540" w:right="580"/>
        <w:spacing w:after="0" w:line="271" w:lineRule="auto"/>
        <w:rPr>
          <w:sz w:val="20"/>
          <w:szCs w:val="20"/>
          <w:color w:val="auto"/>
        </w:rPr>
      </w:pPr>
      <w:r>
        <w:rPr>
          <w:rFonts w:ascii="Arial" w:cs="Arial" w:eastAsia="Arial" w:hAnsi="Arial"/>
          <w:sz w:val="15"/>
          <w:szCs w:val="15"/>
          <w:color w:val="auto"/>
        </w:rPr>
        <w:t>Ms. Langlois has been granted an ICD.D Designation by the Institute of Corporate Directors. Her qualifications to serve on our Board include extensive management experience and her experience serving as a director and audit committee member for various public and private companies.</w:t>
      </w:r>
    </w:p>
    <w:p>
      <w:pPr>
        <w:spacing w:after="0" w:line="61"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-107315</wp:posOffset>
            </wp:positionV>
            <wp:extent cx="48431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SIGURDUR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-1145540</wp:posOffset>
            </wp:positionV>
            <wp:extent cx="985520" cy="986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6"/>
          <w:szCs w:val="16"/>
          <w:b w:val="1"/>
          <w:bCs w:val="1"/>
          <w:color w:val="auto"/>
        </w:rPr>
        <w:t>OLAFSSON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514B"/>
        </w:rPr>
        <w:t>Proposal 1(g)</w:t>
      </w:r>
    </w:p>
    <w:p>
      <w:pPr>
        <w:spacing w:after="0" w:line="122" w:lineRule="exact"/>
        <w:rPr>
          <w:sz w:val="20"/>
          <w:szCs w:val="20"/>
          <w:color w:val="auto"/>
        </w:rPr>
      </w:pPr>
    </w:p>
    <w:p>
      <w:pPr>
        <w:ind w:left="160" w:right="180"/>
        <w:spacing w:after="0" w:line="237" w:lineRule="auto"/>
        <w:rPr>
          <w:sz w:val="20"/>
          <w:szCs w:val="20"/>
          <w:color w:val="auto"/>
        </w:rPr>
      </w:pPr>
      <w:r>
        <w:rPr>
          <w:rFonts w:ascii="Arial" w:cs="Arial" w:eastAsia="Arial" w:hAnsi="Arial"/>
          <w:sz w:val="16"/>
          <w:szCs w:val="16"/>
          <w:color w:val="auto"/>
        </w:rPr>
        <w:t>Sigurdur (Siggi) O. Olafsson has been our President, Chief Executive Officer and a director since June 2022. Before joining Keenova, Mr. Olafsson served as chief executive officer of Hikma Pharmaceuticals plc, a multinational pharmaceutical company publicly traded on the London Stock Exchange, from February 2018 to June 2022. Prior to Hikma, Mr. Olafsson served as president and chief executive officer of the Global Generic Medicines Group of Teva Pharmaceuticals, from 2014 to 2017. Before that, he was President of Actavis plc (formerly, Watson Pharmaceuticals, Inc.) from 2010 to 2014 and served in other leadership roles at Actavis ehf from 2003 to 2010. Mr. Olafsson previously held a number of positions of increased responsibility in Pfizer’s Global R&amp;D organization in the U.K. and U.S., focused on branded drug development, and served as head of drug development for Omega Farma in Iceland. Mr. Olafsson previously served as a director on the boards of directors of Hikma from 2018 to 2022, Pfenex Inc. from 2017 to 2019 and as chairman of Oculis ehf from 2017 to 2018. Mr. Olafsson holds a Master of Science degree in pharmacy (Cand Pharm) from the University of Iceland, Reykjavik. Mr. Olafsson’s qualifications to serve on our Board include his more than 30 years of diverse pharmaceutical experience, in-depth knowledge of all aspects of our business, extensive and diverse industry and managerial expertise and a proven record of leadership to serve as our President, Chief Executive Officer and director.</w:t>
      </w:r>
    </w:p>
    <w:p>
      <w:pPr>
        <w:spacing w:after="0" w:line="90" w:lineRule="exact"/>
        <w:rPr>
          <w:sz w:val="20"/>
          <w:szCs w:val="20"/>
          <w:color w:val="auto"/>
        </w:rPr>
      </w:pPr>
    </w:p>
    <w:p>
      <w:pPr>
        <w:spacing w:after="0"/>
        <w:tabs>
          <w:tab w:leader="none" w:pos="76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-107315</wp:posOffset>
            </wp:positionV>
            <wp:extent cx="48431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2060" w:space="320"/>
            <w:col w:w="7720"/>
          </w:cols>
          <w:pgMar w:left="580" w:top="97" w:right="1219" w:bottom="1440" w:gutter="0" w:footer="0" w:header="0"/>
          <w:type w:val="continuous"/>
        </w:sectPr>
      </w:pPr>
    </w:p>
    <w:p>
      <w:pPr>
        <w:ind w:left="2540"/>
        <w:spacing w:after="0"/>
        <w:rPr>
          <w:sz w:val="20"/>
          <w:szCs w:val="20"/>
          <w:color w:val="auto"/>
        </w:rPr>
      </w:pPr>
      <w:r>
        <w:rPr>
          <w:rFonts w:ascii="Arial" w:cs="Arial" w:eastAsia="Arial" w:hAnsi="Arial"/>
          <w:sz w:val="18"/>
          <w:szCs w:val="18"/>
          <w:b w:val="1"/>
          <w:bCs w:val="1"/>
          <w:color w:val="00514B"/>
        </w:rPr>
        <w:t>Proposal 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-118745</wp:posOffset>
            </wp:positionV>
            <wp:extent cx="985520" cy="9861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02" w:lineRule="exact"/>
        <w:rPr>
          <w:sz w:val="20"/>
          <w:szCs w:val="20"/>
          <w:color w:val="auto"/>
        </w:rPr>
      </w:pPr>
    </w:p>
    <w:p>
      <w:pPr>
        <w:ind w:left="2540" w:right="160"/>
        <w:spacing w:after="0" w:line="257" w:lineRule="auto"/>
        <w:rPr>
          <w:sz w:val="20"/>
          <w:szCs w:val="20"/>
          <w:color w:val="auto"/>
        </w:rPr>
      </w:pPr>
      <w:r>
        <w:rPr>
          <w:rFonts w:ascii="Arial" w:cs="Arial" w:eastAsia="Arial" w:hAnsi="Arial"/>
          <w:sz w:val="15"/>
          <w:szCs w:val="15"/>
          <w:color w:val="auto"/>
        </w:rPr>
        <w:t>Marc Yoskowitz has served as the Chair of our Board since September 17, 2025. He served as a director of Endo, where he chaired the compliance committee and sat on the nomination and governance committee and the product portfolio committee, from April 2024 to July 2025. Since January 2024,</w:t>
      </w:r>
    </w:p>
    <w:p>
      <w:pPr>
        <w:spacing w:after="0" w:line="2" w:lineRule="exact"/>
        <w:rPr>
          <w:sz w:val="20"/>
          <w:szCs w:val="20"/>
          <w:color w:val="auto"/>
        </w:rPr>
      </w:pPr>
    </w:p>
    <w:p>
      <w:pPr>
        <w:ind w:left="2540" w:right="380"/>
        <w:spacing w:after="0" w:line="248" w:lineRule="auto"/>
        <w:rPr>
          <w:sz w:val="20"/>
          <w:szCs w:val="20"/>
          <w:color w:val="auto"/>
        </w:rPr>
      </w:pPr>
      <w:r>
        <w:rPr>
          <w:rFonts w:ascii="Arial" w:cs="Arial" w:eastAsia="Arial" w:hAnsi="Arial"/>
          <w:sz w:val="15"/>
          <w:szCs w:val="15"/>
          <w:color w:val="auto"/>
        </w:rPr>
        <w:t>Mr. Yoskowitz has served as chief executive officer and director of Evozyne, Inc., a venture capital backed biotech company leveraging the power of generative AI to design novel protein therapeutics in immunology. He has served as a member of the board of directors at Mereo BioPharma, since 2022 where he is a member of the R&amp;D Committee. Previously, from February 2019 to January 2024, he</w:t>
      </w:r>
    </w:p>
    <w:p>
      <w:pPr>
        <w:spacing w:after="0" w:line="3" w:lineRule="exact"/>
        <w:rPr>
          <w:sz w:val="20"/>
          <w:szCs w:val="20"/>
          <w:color w:val="auto"/>
        </w:rPr>
      </w:pPr>
    </w:p>
    <w:p>
      <w:pPr>
        <w:ind w:left="2540" w:right="360" w:hanging="1733"/>
        <w:spacing w:after="0" w:line="253" w:lineRule="auto"/>
        <w:tabs>
          <w:tab w:leader="none" w:pos="2520" w:val="left"/>
        </w:tabs>
        <w:rPr>
          <w:sz w:val="20"/>
          <w:szCs w:val="20"/>
          <w:color w:val="auto"/>
        </w:rPr>
      </w:pPr>
      <w:r>
        <w:rPr>
          <w:rFonts w:ascii="Arial" w:cs="Arial" w:eastAsia="Arial" w:hAnsi="Arial"/>
          <w:sz w:val="32"/>
          <w:szCs w:val="32"/>
          <w:b w:val="1"/>
          <w:bCs w:val="1"/>
          <w:color w:val="auto"/>
          <w:vertAlign w:val="subscript"/>
        </w:rPr>
        <w:t>MARC YOSKOWITZ</w:t>
      </w:r>
      <w:r>
        <w:rPr>
          <w:sz w:val="20"/>
          <w:szCs w:val="20"/>
          <w:color w:val="auto"/>
        </w:rPr>
        <w:tab/>
      </w:r>
      <w:r>
        <w:rPr>
          <w:rFonts w:ascii="Arial" w:cs="Arial" w:eastAsia="Arial" w:hAnsi="Arial"/>
          <w:sz w:val="15"/>
          <w:szCs w:val="15"/>
          <w:color w:val="auto"/>
        </w:rPr>
        <w:t>served as executive vice president and chief strategy officer, Life Sciences at Tempus AI, Inc. Prior to Tempus, Mr. Yoskowitz was chief business officer, Pfizer Essential Health. Prior to Pfizer, he served as</w:t>
      </w:r>
    </w:p>
    <w:p>
      <w:pPr>
        <w:spacing w:after="0" w:line="1" w:lineRule="exact"/>
        <w:rPr>
          <w:sz w:val="20"/>
          <w:szCs w:val="20"/>
          <w:color w:val="auto"/>
        </w:rPr>
      </w:pPr>
    </w:p>
    <w:p>
      <w:pPr>
        <w:ind w:left="2540" w:right="240"/>
        <w:spacing w:after="0" w:line="256" w:lineRule="auto"/>
        <w:rPr>
          <w:sz w:val="20"/>
          <w:szCs w:val="20"/>
          <w:color w:val="auto"/>
        </w:rPr>
      </w:pPr>
      <w:r>
        <w:rPr>
          <w:rFonts w:ascii="Arial" w:cs="Arial" w:eastAsia="Arial" w:hAnsi="Arial"/>
          <w:sz w:val="15"/>
          <w:szCs w:val="15"/>
          <w:color w:val="auto"/>
        </w:rPr>
        <w:t>senior vice president,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Juris Doctor from Columbia University School of Law. Mr. Yoskowitz’s qualifications to serve on our Board include his extensive leadership and management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55245</wp:posOffset>
            </wp:positionV>
            <wp:extent cx="48431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​58 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22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16" w:lineRule="exact"/>
        <w:rPr>
          <w:sz w:val="20"/>
          <w:szCs w:val="20"/>
          <w:color w:val="auto"/>
        </w:rPr>
      </w:pPr>
    </w:p>
    <w:p>
      <w:pPr>
        <w:ind w:left="720"/>
        <w:spacing w:after="0"/>
        <w:tabs>
          <w:tab w:leader="none" w:pos="2360" w:val="left"/>
          <w:tab w:leader="none" w:pos="9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3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00514B"/>
        </w:rPr>
        <w:t>Proposal 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-120650</wp:posOffset>
            </wp:positionV>
            <wp:extent cx="985520" cy="9855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85520" cy="985520"/>
                    </a:xfrm>
                    <a:prstGeom prst="rect">
                      <a:avLst/>
                    </a:prstGeom>
                    <a:noFill/>
                  </pic:spPr>
                </pic:pic>
              </a:graphicData>
            </a:graphic>
          </wp:anchor>
        </w:drawing>
      </w:r>
    </w:p>
    <w:p>
      <w:pPr>
        <w:spacing w:after="0" w:line="85" w:lineRule="exact"/>
        <w:rPr>
          <w:sz w:val="20"/>
          <w:szCs w:val="20"/>
          <w:color w:val="auto"/>
        </w:rPr>
      </w:pPr>
    </w:p>
    <w:p>
      <w:pPr>
        <w:ind w:left="2540" w:right="180"/>
        <w:spacing w:after="0" w:line="252" w:lineRule="auto"/>
        <w:rPr>
          <w:sz w:val="20"/>
          <w:szCs w:val="20"/>
          <w:color w:val="auto"/>
        </w:rPr>
      </w:pPr>
      <w:r>
        <w:rPr>
          <w:rFonts w:ascii="Arial" w:cs="Arial" w:eastAsia="Arial" w:hAnsi="Arial"/>
          <w:sz w:val="15"/>
          <w:szCs w:val="15"/>
          <w:color w:val="auto"/>
        </w:rPr>
        <w:t>Jonathan Zinman has served as a director since November 2023. Mr. Zinman currently serves as the managing member of JZ Advisors LLC (“JZA”), a firm that invests in and provides strategic advice to businesses and investors across a diverse set of industries. Mr. Zinman has more than 17 years of industry experience, including as an investment analyst specializing in event-driven, process-intensive and post-reorganization situations, a board member for growing companies emerging from various forms of distress, and as a restructuring lawyer. Prior to founding JZA, Mr. Zinman served as a managing director at Silver Point Capital, from November 2019 to September 2024. He also served as a managing</w:t>
      </w:r>
    </w:p>
    <w:p>
      <w:pPr>
        <w:spacing w:after="0" w:line="4" w:lineRule="exact"/>
        <w:rPr>
          <w:sz w:val="20"/>
          <w:szCs w:val="20"/>
          <w:color w:val="auto"/>
        </w:rPr>
      </w:pPr>
    </w:p>
    <w:p>
      <w:pPr>
        <w:ind w:left="2540" w:right="540" w:hanging="1758"/>
        <w:spacing w:after="0" w:line="253" w:lineRule="auto"/>
        <w:tabs>
          <w:tab w:leader="none" w:pos="2520" w:val="left"/>
        </w:tabs>
        <w:rPr>
          <w:sz w:val="20"/>
          <w:szCs w:val="20"/>
          <w:color w:val="auto"/>
        </w:rPr>
      </w:pPr>
      <w:r>
        <w:rPr>
          <w:rFonts w:ascii="Arial" w:cs="Arial" w:eastAsia="Arial" w:hAnsi="Arial"/>
          <w:sz w:val="32"/>
          <w:szCs w:val="32"/>
          <w:b w:val="1"/>
          <w:bCs w:val="1"/>
          <w:color w:val="auto"/>
          <w:vertAlign w:val="subscript"/>
        </w:rPr>
        <w:t>JONATHAN ZINMAN</w:t>
      </w:r>
      <w:r>
        <w:rPr>
          <w:sz w:val="20"/>
          <w:szCs w:val="20"/>
          <w:color w:val="auto"/>
        </w:rPr>
        <w:tab/>
      </w:r>
      <w:r>
        <w:rPr>
          <w:rFonts w:ascii="Arial" w:cs="Arial" w:eastAsia="Arial" w:hAnsi="Arial"/>
          <w:sz w:val="15"/>
          <w:szCs w:val="15"/>
          <w:color w:val="auto"/>
        </w:rPr>
        <w:t>director at Solus Alternative Asset Management LP from August 2012 to November 2019 and as an attorney at Kirkland &amp; Ellis from 2007 to 2012. He served as a board observer for Endo Inc. from</w:t>
      </w:r>
    </w:p>
    <w:p>
      <w:pPr>
        <w:spacing w:after="0" w:line="1" w:lineRule="exact"/>
        <w:rPr>
          <w:sz w:val="20"/>
          <w:szCs w:val="20"/>
          <w:color w:val="auto"/>
        </w:rPr>
      </w:pPr>
    </w:p>
    <w:p>
      <w:pPr>
        <w:ind w:left="2540" w:right="160"/>
        <w:spacing w:after="0" w:line="235" w:lineRule="auto"/>
        <w:rPr>
          <w:sz w:val="20"/>
          <w:szCs w:val="20"/>
          <w:color w:val="auto"/>
        </w:rPr>
      </w:pPr>
      <w:r>
        <w:rPr>
          <w:rFonts w:ascii="Arial" w:cs="Arial" w:eastAsia="Arial" w:hAnsi="Arial"/>
          <w:sz w:val="16"/>
          <w:szCs w:val="16"/>
          <w:color w:val="auto"/>
        </w:rPr>
        <w:t>April 2024 to January 2025. In addition to our Board, Mr. Zinman currently serves on the boards of directors of MP Topco Holdings, LLC (also known as Maker’s Pride), a food solutions company, since March 2025, Belk, an American department store chain, since October 2024, Tradesmen International, a construction company, since June 2024, Azul Airlines, a Brazilian airline company, since May 2025, Helium Holdings, an AI-generated hiring platform, since November 2025, Par Health since its spin-off from Keenova in November 2025, as well as Sterling Enterprise Holdings, a regional sports network, since January 2026. Mr. Zinman received a Bachelor of Arts degree from Duke University, a Juris Doctor degree from the University of Michigan Law School and a Master of Business Administration degree from the Stephen M. Ross School of Business. Mr. Zinman’s qualifications to serve on our Board include his leadership, strong track record of maximizing shareholder value, and expertise in strategies that optimize financial and operational execution and transformation for companies emerging from holistic reorganizations.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83185</wp:posOffset>
            </wp:positionV>
            <wp:extent cx="48431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19" w:lineRule="exact"/>
        <w:rPr>
          <w:sz w:val="20"/>
          <w:szCs w:val="20"/>
          <w:color w:val="auto"/>
        </w:rPr>
      </w:pPr>
    </w:p>
    <w:tbl>
      <w:tblPr>
        <w:tblLayout w:type="fixed"/>
        <w:tblInd w:w="670" w:type="dxa"/>
        <w:tblCellMar>
          <w:top w:w="0" w:type="dxa"/>
          <w:left w:w="0" w:type="dxa"/>
          <w:bottom w:w="0" w:type="dxa"/>
          <w:right w:w="0" w:type="dxa"/>
        </w:tblCellMar>
      </w:tblPr>
      <w:tr>
        <w:trPr>
          <w:trHeight w:val="223"/>
        </w:trPr>
        <w:tc>
          <w:tcPr>
            <w:tcW w:w="8980" w:type="dxa"/>
            <w:vAlign w:val="bottom"/>
          </w:tcPr>
          <w:p>
            <w:pPr>
              <w:ind w:left="1620"/>
              <w:spacing w:after="0"/>
              <w:rPr>
                <w:sz w:val="20"/>
                <w:szCs w:val="20"/>
                <w:color w:val="auto"/>
              </w:rPr>
            </w:pPr>
            <w:r>
              <w:rPr>
                <w:rFonts w:ascii="Arial" w:cs="Arial" w:eastAsia="Arial" w:hAnsi="Arial"/>
                <w:sz w:val="16"/>
                <w:szCs w:val="16"/>
                <w:b w:val="1"/>
                <w:bCs w:val="1"/>
                <w:color w:val="auto"/>
              </w:rPr>
              <w:t>Unless otherwise instructed, the proxies will vote “FOR” each of these directors.</w:t>
            </w:r>
          </w:p>
        </w:tc>
        <w:tc>
          <w:tcPr>
            <w:tcW w:w="420" w:type="dxa"/>
            <w:vAlign w:val="bottom"/>
          </w:tcPr>
          <w:p>
            <w:pPr>
              <w:spacing w:after="0"/>
              <w:rPr>
                <w:sz w:val="19"/>
                <w:szCs w:val="19"/>
                <w:color w:val="auto"/>
              </w:rPr>
            </w:pPr>
          </w:p>
        </w:tc>
      </w:tr>
      <w:tr>
        <w:trPr>
          <w:trHeight w:val="210"/>
        </w:trPr>
        <w:tc>
          <w:tcPr>
            <w:tcW w:w="8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r>
      <w:tr>
        <w:trPr>
          <w:trHeight w:val="182"/>
        </w:trPr>
        <w:tc>
          <w:tcPr>
            <w:tcW w:w="8980" w:type="dxa"/>
            <w:vAlign w:val="bottom"/>
            <w:tcBorders>
              <w:left w:val="single" w:sz="8" w:color="auto"/>
            </w:tcBorders>
          </w:tcPr>
          <w:p>
            <w:pPr>
              <w:ind w:left="20"/>
              <w:spacing w:after="0" w:line="182"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2"/>
                <w:szCs w:val="12"/>
                <w:b w:val="1"/>
                <w:bCs w:val="1"/>
                <w:color w:val="auto"/>
              </w:rPr>
              <w:t xml:space="preserve"> THE BOARD OF DIRECTORS UNANIMOUSLY RECOMMENDS THAT YOU VOTE </w:t>
            </w:r>
            <w:r>
              <w:rPr>
                <w:rFonts w:ascii="Arial" w:cs="Arial" w:eastAsia="Arial" w:hAnsi="Arial"/>
                <w:sz w:val="12"/>
                <w:szCs w:val="12"/>
                <w:b w:val="1"/>
                <w:bCs w:val="1"/>
                <w:color w:val="3FD4AD"/>
              </w:rPr>
              <w:t>“FOR”</w:t>
            </w:r>
            <w:r>
              <w:rPr>
                <w:rFonts w:ascii="Arial" w:cs="Arial" w:eastAsia="Arial" w:hAnsi="Arial"/>
                <w:sz w:val="12"/>
                <w:szCs w:val="12"/>
                <w:b w:val="1"/>
                <w:bCs w:val="1"/>
                <w:color w:val="auto"/>
              </w:rPr>
              <w:t xml:space="preserve"> EACH OF THE DIRECTORS</w:t>
            </w:r>
          </w:p>
        </w:tc>
        <w:tc>
          <w:tcPr>
            <w:tcW w:w="420" w:type="dxa"/>
            <w:vAlign w:val="bottom"/>
            <w:tcBorders>
              <w:right w:val="single" w:sz="8" w:color="auto"/>
            </w:tcBorders>
          </w:tcPr>
          <w:p>
            <w:pPr>
              <w:ind w:left="300"/>
              <w:spacing w:after="0" w:line="182" w:lineRule="exact"/>
              <w:rPr>
                <w:sz w:val="20"/>
                <w:szCs w:val="20"/>
                <w:color w:val="auto"/>
              </w:rPr>
            </w:pPr>
            <w:r>
              <w:rPr>
                <w:rFonts w:ascii="Arial" w:cs="Arial" w:eastAsia="Arial" w:hAnsi="Arial"/>
                <w:sz w:val="16"/>
                <w:szCs w:val="16"/>
                <w:b w:val="1"/>
                <w:bCs w:val="1"/>
                <w:color w:val="auto"/>
              </w:rPr>
              <w:t>​</w:t>
            </w:r>
          </w:p>
        </w:tc>
      </w:tr>
      <w:tr>
        <w:trPr>
          <w:trHeight w:val="223"/>
        </w:trPr>
        <w:tc>
          <w:tcPr>
            <w:tcW w:w="8980" w:type="dxa"/>
            <w:vAlign w:val="bottom"/>
            <w:tcBorders>
              <w:left w:val="single" w:sz="8" w:color="auto"/>
            </w:tcBorders>
          </w:tcPr>
          <w:p>
            <w:pPr>
              <w:ind w:left="120"/>
              <w:spacing w:after="0"/>
              <w:rPr>
                <w:sz w:val="20"/>
                <w:szCs w:val="20"/>
                <w:color w:val="auto"/>
              </w:rPr>
            </w:pPr>
            <w:r>
              <w:rPr>
                <w:rFonts w:ascii="Arial" w:cs="Arial" w:eastAsia="Arial" w:hAnsi="Arial"/>
                <w:sz w:val="16"/>
                <w:szCs w:val="16"/>
                <w:b w:val="1"/>
                <w:bCs w:val="1"/>
                <w:color w:val="auto"/>
              </w:rPr>
              <w:t>NOMINATED FOR ELECTION IN PROPOSALS 1(a) THROUGH 1(i)</w:t>
            </w:r>
          </w:p>
        </w:tc>
        <w:tc>
          <w:tcPr>
            <w:tcW w:w="420" w:type="dxa"/>
            <w:vAlign w:val="bottom"/>
            <w:tcBorders>
              <w:right w:val="single" w:sz="8" w:color="auto"/>
            </w:tcBorders>
          </w:tcPr>
          <w:p>
            <w:pPr>
              <w:spacing w:after="0"/>
              <w:rPr>
                <w:sz w:val="19"/>
                <w:szCs w:val="19"/>
                <w:color w:val="auto"/>
              </w:rPr>
            </w:pPr>
          </w:p>
        </w:tc>
      </w:tr>
      <w:tr>
        <w:trPr>
          <w:trHeight w:val="48"/>
        </w:trPr>
        <w:tc>
          <w:tcPr>
            <w:tcW w:w="898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59</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02" w:lineRule="exact"/>
        <w:rPr>
          <w:sz w:val="20"/>
          <w:szCs w:val="20"/>
          <w:color w:val="auto"/>
        </w:rPr>
      </w:pPr>
    </w:p>
    <w:p>
      <w:pPr>
        <w:ind w:left="680" w:right="120"/>
        <w:spacing w:after="0" w:line="258" w:lineRule="auto"/>
        <w:rPr>
          <w:sz w:val="20"/>
          <w:szCs w:val="20"/>
          <w:color w:val="auto"/>
        </w:rPr>
      </w:pPr>
      <w:r>
        <w:rPr>
          <w:rFonts w:ascii="Arial" w:cs="Arial" w:eastAsia="Arial" w:hAnsi="Arial"/>
          <w:sz w:val="22"/>
          <w:szCs w:val="22"/>
          <w:b w:val="1"/>
          <w:bCs w:val="1"/>
          <w:color w:val="auto"/>
        </w:rPr>
        <w:t>Proposal 2: Advisory Non-Binding Vote to Approve the Re-Appointment of the Independent Auditors and Binding Vote to Authorize the Audit Committee to Set the Independent Auditors’ Remuneration</w:t>
      </w:r>
    </w:p>
    <w:p>
      <w:pPr>
        <w:spacing w:after="0" w:line="63" w:lineRule="exact"/>
        <w:rPr>
          <w:sz w:val="20"/>
          <w:szCs w:val="20"/>
          <w:color w:val="auto"/>
        </w:rPr>
      </w:pPr>
    </w:p>
    <w:p>
      <w:pPr>
        <w:ind w:left="680" w:right="40"/>
        <w:spacing w:after="0" w:line="282" w:lineRule="auto"/>
        <w:rPr>
          <w:sz w:val="20"/>
          <w:szCs w:val="20"/>
          <w:color w:val="auto"/>
        </w:rPr>
      </w:pPr>
      <w:r>
        <w:rPr>
          <w:rFonts w:ascii="Arial" w:cs="Arial" w:eastAsia="Arial" w:hAnsi="Arial"/>
          <w:sz w:val="15"/>
          <w:szCs w:val="15"/>
          <w:color w:val="auto"/>
        </w:rPr>
        <w:t>The Audit Committee has selected and re-appointed PricewaterhouseCoopers LLP to audit our financial statements for the fiscal year ending December 31, 2026. The Board of Directors, upon the recommendation of the Audit Committee, is asking our shareholders to approve, in a non-binding advisory vote, the re-appointment of PricewaterhouseCoopers LLP as our independent auditors for the fiscal year ending December 31, 2026, and to authorize, in a binding vote, the Audit Committee to set the independent auditors’ remuneration. Although approval is not required by the Memorandum and Articles of Association or otherwise, the Board is submitting the selection of PricewaterhouseCoopers LLP to our shareholders for approval in a non-binding advisory vote because we value our shareholders’ views on our independent auditors. If the re-appointment of PricewaterhouseCoopers LLP is not approved by shareholders, it will be considered as notice to the Board and the Audit Committee to consider the selection of a different firm. Even if the re-appointment is approved, the Audit Committee in its discretion may select a different independent auditor at any time during the year if it determines that such a change would be in the best interests of Keenova and its shareholders.</w:t>
      </w:r>
    </w:p>
    <w:p>
      <w:pPr>
        <w:spacing w:after="0" w:line="133" w:lineRule="exact"/>
        <w:rPr>
          <w:sz w:val="20"/>
          <w:szCs w:val="20"/>
          <w:color w:val="auto"/>
        </w:rPr>
      </w:pPr>
    </w:p>
    <w:p>
      <w:pPr>
        <w:ind w:left="680" w:right="180"/>
        <w:spacing w:after="0" w:line="265" w:lineRule="auto"/>
        <w:rPr>
          <w:sz w:val="20"/>
          <w:szCs w:val="20"/>
          <w:color w:val="auto"/>
        </w:rPr>
      </w:pPr>
      <w:r>
        <w:rPr>
          <w:rFonts w:ascii="Arial" w:cs="Arial" w:eastAsia="Arial" w:hAnsi="Arial"/>
          <w:sz w:val="16"/>
          <w:szCs w:val="16"/>
          <w:color w:val="auto"/>
        </w:rPr>
        <w:t>The Audit Committee and the Board recommend that shareholders approve, in a non-binding advisory vote, the re-appointment of PricewaterhouseCoopers LLP as our independent auditors to audit our accounts for the fiscal year ending December 31, 2026, and authorize, in a binding vote, the Audit Committee to set the auditors’ remuneration. Authorization of the Audit Committee to set the independent auditors’ remuneration requires the affirmative vote of a majority of the votes cast by the holders of ordinary shares represented at the Annual General Meeting in person or by proxy.</w:t>
      </w:r>
    </w:p>
    <w:p>
      <w:pPr>
        <w:spacing w:after="0" w:line="145" w:lineRule="exact"/>
        <w:rPr>
          <w:sz w:val="20"/>
          <w:szCs w:val="20"/>
          <w:color w:val="auto"/>
        </w:rPr>
      </w:pPr>
    </w:p>
    <w:p>
      <w:pPr>
        <w:ind w:left="680" w:right="340"/>
        <w:spacing w:after="0" w:line="304" w:lineRule="auto"/>
        <w:rPr>
          <w:sz w:val="20"/>
          <w:szCs w:val="20"/>
          <w:color w:val="auto"/>
        </w:rPr>
      </w:pPr>
      <w:r>
        <w:rPr>
          <w:rFonts w:ascii="Arial" w:cs="Arial" w:eastAsia="Arial" w:hAnsi="Arial"/>
          <w:sz w:val="16"/>
          <w:szCs w:val="16"/>
          <w:color w:val="auto"/>
        </w:rPr>
        <w:t>Representatives of PricewaterhouseCoopers LLP are expected to attend the Annual General Meeting, will have an opportunity to make a statement, if they so desire, and will be available to respond to appropriate questions.</w:t>
      </w:r>
    </w:p>
    <w:p>
      <w:pPr>
        <w:spacing w:after="0" w:line="114"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Unless otherwise instructed, the proxies will vote “FOR” this proposal.</w:t>
      </w:r>
    </w:p>
    <w:p>
      <w:pPr>
        <w:spacing w:after="0" w:line="235" w:lineRule="exact"/>
        <w:rPr>
          <w:sz w:val="20"/>
          <w:szCs w:val="20"/>
          <w:color w:val="auto"/>
        </w:rPr>
      </w:pPr>
    </w:p>
    <w:p>
      <w:pPr>
        <w:ind w:left="680"/>
        <w:spacing w:after="0"/>
        <w:tabs>
          <w:tab w:leader="none" w:pos="99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THE BOARD OF DIRECTORS UNANIMOUSLY RECOMMENDS THAT YOU VOTE </w:t>
      </w:r>
      <w:r>
        <w:rPr>
          <w:rFonts w:ascii="Arial" w:cs="Arial" w:eastAsia="Arial" w:hAnsi="Arial"/>
          <w:sz w:val="16"/>
          <w:szCs w:val="16"/>
          <w:b w:val="1"/>
          <w:bCs w:val="1"/>
          <w:color w:val="3FD4AD"/>
        </w:rPr>
        <w:t>“FOR”</w:t>
      </w:r>
      <w:r>
        <w:rPr>
          <w:rFonts w:ascii="Arial" w:cs="Arial" w:eastAsia="Arial" w:hAnsi="Arial"/>
          <w:sz w:val="16"/>
          <w:szCs w:val="16"/>
          <w:b w:val="1"/>
          <w:bCs w:val="1"/>
          <w:color w:val="auto"/>
        </w:rPr>
        <w:t xml:space="preserve"> PROPOSAL 2  </w:t>
      </w:r>
      <w:r>
        <w:rPr>
          <w:sz w:val="20"/>
          <w:szCs w:val="20"/>
          <w:color w:val="auto"/>
        </w:rPr>
        <w:tab/>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-224155</wp:posOffset>
            </wp:positionV>
            <wp:extent cx="596646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​60 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22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02" w:lineRule="exact"/>
        <w:rPr>
          <w:sz w:val="20"/>
          <w:szCs w:val="20"/>
          <w:color w:val="auto"/>
        </w:rPr>
      </w:pPr>
    </w:p>
    <w:p>
      <w:pPr>
        <w:ind w:left="680" w:right="1560"/>
        <w:spacing w:after="0" w:line="272" w:lineRule="auto"/>
        <w:rPr>
          <w:sz w:val="20"/>
          <w:szCs w:val="20"/>
          <w:color w:val="auto"/>
        </w:rPr>
      </w:pPr>
      <w:r>
        <w:rPr>
          <w:rFonts w:ascii="Arial" w:cs="Arial" w:eastAsia="Arial" w:hAnsi="Arial"/>
          <w:sz w:val="22"/>
          <w:szCs w:val="22"/>
          <w:b w:val="1"/>
          <w:bCs w:val="1"/>
          <w:color w:val="auto"/>
        </w:rPr>
        <w:t>Proposal 3: Advisory Non-Binding Vote to Approve the Company’s Executive Compensation</w:t>
      </w:r>
    </w:p>
    <w:p>
      <w:pPr>
        <w:spacing w:after="0" w:line="48" w:lineRule="exact"/>
        <w:rPr>
          <w:sz w:val="20"/>
          <w:szCs w:val="20"/>
          <w:color w:val="auto"/>
        </w:rPr>
      </w:pPr>
    </w:p>
    <w:p>
      <w:pPr>
        <w:ind w:left="680" w:right="360"/>
        <w:spacing w:after="0" w:line="269" w:lineRule="auto"/>
        <w:rPr>
          <w:sz w:val="20"/>
          <w:szCs w:val="20"/>
          <w:color w:val="auto"/>
        </w:rPr>
      </w:pPr>
      <w:r>
        <w:rPr>
          <w:rFonts w:ascii="Arial" w:cs="Arial" w:eastAsia="Arial" w:hAnsi="Arial"/>
          <w:sz w:val="16"/>
          <w:szCs w:val="16"/>
          <w:color w:val="auto"/>
        </w:rPr>
        <w:t>As described in the section entitled “Compensation Discussion and Analysis” in this Proxy Statement, the HRCC’s goal in setting executive compensation is to provide a compensation package that attracts, motivates and retains executive talent and rewards executive officers for superior Company and individual performance, while encouraging behaviors that are in the long-term best interests of Keenova and its shareholders. Consistent with this goal, a significant portion of the total compensation opportunity for each of our executives is performance-based and dependent upon our achievement of specified goals.</w:t>
      </w:r>
    </w:p>
    <w:p>
      <w:pPr>
        <w:spacing w:after="0" w:line="143" w:lineRule="exact"/>
        <w:rPr>
          <w:sz w:val="20"/>
          <w:szCs w:val="20"/>
          <w:color w:val="auto"/>
        </w:rPr>
      </w:pPr>
    </w:p>
    <w:p>
      <w:pPr>
        <w:ind w:left="680" w:right="140"/>
        <w:spacing w:after="0" w:line="287" w:lineRule="auto"/>
        <w:rPr>
          <w:sz w:val="20"/>
          <w:szCs w:val="20"/>
          <w:color w:val="auto"/>
        </w:rPr>
      </w:pPr>
      <w:r>
        <w:rPr>
          <w:rFonts w:ascii="Arial" w:cs="Arial" w:eastAsia="Arial" w:hAnsi="Arial"/>
          <w:sz w:val="15"/>
          <w:szCs w:val="15"/>
          <w:color w:val="auto"/>
        </w:rPr>
        <w:t>Shareholders are urged to read the Compensation Discussion and Analysis section of this Proxy Statement, which discusses our compensation practices, as well as the Summary Compensation Table and other related compensation tables and narrative disclosure that describe the compensation of our named executive officers during fiscal 2025. The HRCC and the Board believe that Keenova’s compensation practices, policies and procedures are effective in implementing our compensation objectives and that the compensation of our named executive officers during fiscal 2025 reflects such policies and procedures and supports our objectives.</w:t>
      </w:r>
    </w:p>
    <w:p>
      <w:pPr>
        <w:spacing w:after="0" w:line="130" w:lineRule="exact"/>
        <w:rPr>
          <w:sz w:val="20"/>
          <w:szCs w:val="20"/>
          <w:color w:val="auto"/>
        </w:rPr>
      </w:pPr>
    </w:p>
    <w:p>
      <w:pPr>
        <w:ind w:left="680" w:right="260"/>
        <w:spacing w:after="0" w:line="304" w:lineRule="auto"/>
        <w:rPr>
          <w:sz w:val="20"/>
          <w:szCs w:val="20"/>
          <w:color w:val="auto"/>
        </w:rPr>
      </w:pPr>
      <w:r>
        <w:rPr>
          <w:rFonts w:ascii="Arial" w:cs="Arial" w:eastAsia="Arial" w:hAnsi="Arial"/>
          <w:sz w:val="16"/>
          <w:szCs w:val="16"/>
          <w:color w:val="auto"/>
        </w:rPr>
        <w:t>As required by the Dodd-Frank Wall Street Reform and Consumer Protection Act (Section 14a of the Exchange Act), shareholders will be asked at the 2026 Annual General Meeting to approve the following advisory resolution:</w:t>
      </w:r>
    </w:p>
    <w:p>
      <w:pPr>
        <w:spacing w:after="0" w:line="114" w:lineRule="exact"/>
        <w:rPr>
          <w:sz w:val="20"/>
          <w:szCs w:val="20"/>
          <w:color w:val="auto"/>
        </w:rPr>
      </w:pPr>
    </w:p>
    <w:p>
      <w:pPr>
        <w:ind w:left="1040" w:right="100"/>
        <w:spacing w:after="0" w:line="27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of the Company’s named executive officers described in the Compensation Discussion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section of the Proxy Statement, the Summary Compensation Table and related compensation tables and narrative disclosure that describe the compensation of our named executive officers during fiscal 2025 included in the Proxy Statement is approved.</w:t>
      </w:r>
    </w:p>
    <w:p>
      <w:pPr>
        <w:spacing w:after="0" w:line="141" w:lineRule="exact"/>
        <w:rPr>
          <w:sz w:val="20"/>
          <w:szCs w:val="20"/>
          <w:color w:val="auto"/>
        </w:rPr>
      </w:pPr>
    </w:p>
    <w:p>
      <w:pPr>
        <w:ind w:left="680" w:right="80"/>
        <w:spacing w:after="0" w:line="271" w:lineRule="auto"/>
        <w:rPr>
          <w:sz w:val="20"/>
          <w:szCs w:val="20"/>
          <w:color w:val="auto"/>
        </w:rPr>
      </w:pPr>
      <w:r>
        <w:rPr>
          <w:rFonts w:ascii="Arial" w:cs="Arial" w:eastAsia="Arial" w:hAnsi="Arial"/>
          <w:sz w:val="16"/>
          <w:szCs w:val="16"/>
          <w:color w:val="auto"/>
        </w:rPr>
        <w:t>We have determined to hold this advisory vote every year and, subject to considering the voting results on Proposal 4, expect to hold our next advisory vote at our 2027 Annual General Meeting of shareholders. This advisory vote, commonly referred to as a “say-on-pay” advisory vote, is non-binding on the Board. Although non-binding, the Board and the HRCC will review the voting results and take them into consideration when making future decisions regarding our executive compensation programs.</w:t>
      </w:r>
    </w:p>
    <w:p>
      <w:pPr>
        <w:spacing w:after="0" w:line="14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Unless otherwise instructed, the proxies will vote “FOR” this resolution.</w:t>
      </w:r>
    </w:p>
    <w:p>
      <w:pPr>
        <w:spacing w:after="0" w:line="235" w:lineRule="exact"/>
        <w:rPr>
          <w:sz w:val="20"/>
          <w:szCs w:val="20"/>
          <w:color w:val="auto"/>
        </w:rPr>
      </w:pPr>
    </w:p>
    <w:p>
      <w:pPr>
        <w:ind w:left="800" w:right="100" w:hanging="107"/>
        <w:spacing w:after="0" w:line="208" w:lineRule="auto"/>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THE BOARD OF DIRECTORS UNANIMOUSLY RECOMMENDS THAT YOU VOTE </w:t>
      </w:r>
      <w:r>
        <w:rPr>
          <w:rFonts w:ascii="Arial" w:cs="Arial" w:eastAsia="Arial" w:hAnsi="Arial"/>
          <w:sz w:val="16"/>
          <w:szCs w:val="16"/>
          <w:b w:val="1"/>
          <w:bCs w:val="1"/>
          <w:color w:val="3FD4AD"/>
        </w:rPr>
        <w:t>“FOR”</w:t>
      </w:r>
      <w:r>
        <w:rPr>
          <w:rFonts w:ascii="Arial" w:cs="Arial" w:eastAsia="Arial" w:hAnsi="Arial"/>
          <w:sz w:val="16"/>
          <w:szCs w:val="16"/>
          <w:b w:val="1"/>
          <w:bCs w:val="1"/>
          <w:color w:val="auto"/>
        </w:rPr>
        <w:t xml:space="preserve"> THE RESOLUTION SET FORTH IN </w:t>
      </w: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PROPOSAL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-294005</wp:posOffset>
            </wp:positionV>
            <wp:extent cx="5966460" cy="3257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61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02" w:lineRule="exact"/>
        <w:rPr>
          <w:sz w:val="20"/>
          <w:szCs w:val="20"/>
          <w:color w:val="auto"/>
        </w:rPr>
      </w:pPr>
    </w:p>
    <w:p>
      <w:pPr>
        <w:ind w:left="680" w:right="620"/>
        <w:spacing w:after="0" w:line="272" w:lineRule="auto"/>
        <w:rPr>
          <w:sz w:val="20"/>
          <w:szCs w:val="20"/>
          <w:color w:val="auto"/>
        </w:rPr>
      </w:pPr>
      <w:r>
        <w:rPr>
          <w:rFonts w:ascii="Arial" w:cs="Arial" w:eastAsia="Arial" w:hAnsi="Arial"/>
          <w:sz w:val="22"/>
          <w:szCs w:val="22"/>
          <w:b w:val="1"/>
          <w:bCs w:val="1"/>
          <w:color w:val="auto"/>
        </w:rPr>
        <w:t>Proposal 4: Advisory Non-Binding Vote on Frequency of Future Advisory Non-Binding Votes to Approve the Company’s Executive Compensation</w:t>
      </w:r>
    </w:p>
    <w:p>
      <w:pPr>
        <w:spacing w:after="0" w:line="48" w:lineRule="exact"/>
        <w:rPr>
          <w:sz w:val="20"/>
          <w:szCs w:val="20"/>
          <w:color w:val="auto"/>
        </w:rPr>
      </w:pPr>
    </w:p>
    <w:p>
      <w:pPr>
        <w:jc w:val="both"/>
        <w:ind w:left="680" w:right="440"/>
        <w:spacing w:after="0" w:line="271" w:lineRule="auto"/>
        <w:rPr>
          <w:sz w:val="20"/>
          <w:szCs w:val="20"/>
          <w:color w:val="auto"/>
        </w:rPr>
      </w:pPr>
      <w:r>
        <w:rPr>
          <w:rFonts w:ascii="Arial" w:cs="Arial" w:eastAsia="Arial" w:hAnsi="Arial"/>
          <w:sz w:val="16"/>
          <w:szCs w:val="16"/>
          <w:color w:val="auto"/>
        </w:rPr>
        <w:t>In addition to the “say-on-pay” advisory vote described above and in accordance with Section 14A of the Exchange Act, we are asking shareholders to vote on whether future “say-on-pay” advisory votes on executive compensation should occur every year, every two years or every three years. The shareholders last voted on “say-on-pay” frequency at the Company’s Annual General Meeting in 2020.</w:t>
      </w:r>
    </w:p>
    <w:p>
      <w:pPr>
        <w:spacing w:after="0" w:line="141" w:lineRule="exact"/>
        <w:rPr>
          <w:sz w:val="20"/>
          <w:szCs w:val="20"/>
          <w:color w:val="auto"/>
        </w:rPr>
      </w:pPr>
    </w:p>
    <w:p>
      <w:pPr>
        <w:ind w:left="680" w:right="200"/>
        <w:spacing w:after="0" w:line="275" w:lineRule="auto"/>
        <w:rPr>
          <w:sz w:val="20"/>
          <w:szCs w:val="20"/>
          <w:color w:val="auto"/>
        </w:rPr>
      </w:pPr>
      <w:r>
        <w:rPr>
          <w:rFonts w:ascii="Arial" w:cs="Arial" w:eastAsia="Arial" w:hAnsi="Arial"/>
          <w:sz w:val="16"/>
          <w:szCs w:val="16"/>
          <w:color w:val="auto"/>
        </w:rPr>
        <w:t>After careful consideration, the Board recommends that future shareholder “say-on-pay” advisory votes on executive compensation continue to be conducted every year so that shareholders may annually express their views on the Company’s executive compensation program.</w:t>
      </w:r>
    </w:p>
    <w:p>
      <w:pPr>
        <w:spacing w:after="0" w:line="137" w:lineRule="exact"/>
        <w:rPr>
          <w:sz w:val="20"/>
          <w:szCs w:val="20"/>
          <w:color w:val="auto"/>
        </w:rPr>
      </w:pPr>
    </w:p>
    <w:p>
      <w:pPr>
        <w:ind w:left="680" w:right="80"/>
        <w:spacing w:after="0" w:line="284" w:lineRule="auto"/>
        <w:rPr>
          <w:sz w:val="20"/>
          <w:szCs w:val="20"/>
          <w:color w:val="auto"/>
        </w:rPr>
      </w:pPr>
      <w:r>
        <w:rPr>
          <w:rFonts w:ascii="Arial" w:cs="Arial" w:eastAsia="Arial" w:hAnsi="Arial"/>
          <w:sz w:val="16"/>
          <w:szCs w:val="16"/>
          <w:color w:val="auto"/>
        </w:rPr>
        <w:t>Although this advisory vote regarding the frequency of future “say-on-pay” advisory votes is non-binding on the Board, the Board and the HRCC will review the voting results and take them into consideration when deciding how often to conduct future “say-on-pay” advisory votes.</w:t>
      </w:r>
    </w:p>
    <w:p>
      <w:pPr>
        <w:spacing w:after="0" w:line="130"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Unless otherwise instructed, the proxies will vote for “ONE-YEAR” on this proposal.</w:t>
      </w:r>
    </w:p>
    <w:p>
      <w:pPr>
        <w:spacing w:after="0" w:line="221" w:lineRule="exact"/>
        <w:rPr>
          <w:sz w:val="20"/>
          <w:szCs w:val="20"/>
          <w:color w:val="auto"/>
        </w:rPr>
      </w:pPr>
    </w:p>
    <w:p>
      <w:pPr>
        <w:ind w:left="800" w:right="100" w:hanging="107"/>
        <w:spacing w:after="0" w:line="217" w:lineRule="auto"/>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THE BOARD OF DIRECTORS UNANIMOUSLY RECOMMENDS THAT YOU VOTE FOR THE </w:t>
      </w:r>
      <w:r>
        <w:rPr>
          <w:rFonts w:ascii="Arial" w:cs="Arial" w:eastAsia="Arial" w:hAnsi="Arial"/>
          <w:sz w:val="16"/>
          <w:szCs w:val="16"/>
          <w:b w:val="1"/>
          <w:bCs w:val="1"/>
          <w:color w:val="3FD4AD"/>
        </w:rPr>
        <w:t>“ONE-YEAR”</w:t>
      </w:r>
      <w:r>
        <w:rPr>
          <w:rFonts w:ascii="Arial" w:cs="Arial" w:eastAsia="Arial" w:hAnsi="Arial"/>
          <w:sz w:val="16"/>
          <w:szCs w:val="16"/>
          <w:b w:val="1"/>
          <w:bCs w:val="1"/>
          <w:color w:val="auto"/>
        </w:rPr>
        <w:t xml:space="preserve"> ALTERNATIVE IN </w:t>
      </w: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PROPOSAL 4 (I.E., FOR THE ADVISORY NON-BINDING VOTE TO APPROVE EXECUTIVE COMPENSATION TO OCCUR EVERY YEAR)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-412750</wp:posOffset>
            </wp:positionV>
            <wp:extent cx="5966460" cy="4457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64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​62 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22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Proposal 5: Reduction of Company Capital</w:t>
      </w:r>
    </w:p>
    <w:p>
      <w:pPr>
        <w:spacing w:after="0" w:line="112" w:lineRule="exact"/>
        <w:rPr>
          <w:sz w:val="20"/>
          <w:szCs w:val="20"/>
          <w:color w:val="auto"/>
        </w:rPr>
      </w:pPr>
    </w:p>
    <w:p>
      <w:pPr>
        <w:ind w:left="680" w:right="40"/>
        <w:spacing w:after="0" w:line="262" w:lineRule="auto"/>
        <w:rPr>
          <w:sz w:val="20"/>
          <w:szCs w:val="20"/>
          <w:color w:val="auto"/>
        </w:rPr>
      </w:pPr>
      <w:r>
        <w:rPr>
          <w:rFonts w:ascii="Arial" w:cs="Arial" w:eastAsia="Arial" w:hAnsi="Arial"/>
          <w:sz w:val="16"/>
          <w:szCs w:val="16"/>
          <w:color w:val="auto"/>
        </w:rPr>
        <w:t>It is common for Irish companies to seek shareholder approval to create additional “distributable reserves” in particular, to allow for flexibility in the Irish company’s future allocations of capital, should such flexibility be needed. Under Irish law, in general, dividends and distributions to shareholders, as well as share repurchases and redemptions and spin-off or split-off transactions may only be made from “distributable reserves” by reference to Keenova’s unconsolidated balance sheet prepared in accordance with the Irish Companies Act. Distributable reserves broadly means the accumulated realized profits of Keenova less accumulated realized losses of Keenova and includes reserves created by way of a reduction of a capital account of the Company (including its capital redemption reserve account or share premium account). Undistributable reserves include the share premium account, the capital redemption reserve fund and the amount by which Keenova’s accumulated unrealized profits, so far as not previously utilized by any capitalization, exceed Keenova’s accumulated unrealized losses, so far as not previously written off in a reduction or reorganization of capital.</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amount of distributable reserves at December 31, 2025 is set out in our Irish Statutory Accounts (which will be available at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in the Investor Relations section of our website at</w:t>
      </w:r>
      <w:r>
        <w:rPr>
          <w:rFonts w:ascii="Arial" w:cs="Arial" w:eastAsia="Arial" w:hAnsi="Arial"/>
          <w:sz w:val="16"/>
          <w:szCs w:val="16"/>
          <w:i w:val="1"/>
          <w:iCs w:val="1"/>
          <w:color w:val="auto"/>
        </w:rPr>
        <w:t xml:space="preserve"> investor.keenova.com </w:t>
      </w:r>
      <w:r>
        <w:rPr>
          <w:rFonts w:ascii="Arial" w:cs="Arial" w:eastAsia="Arial" w:hAnsi="Arial"/>
          <w:sz w:val="16"/>
          <w:szCs w:val="16"/>
          <w:color w:val="auto"/>
        </w:rPr>
        <w:t>at least 21 days prior to the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General Meeting). As at the date of this Proxy Statement, Keenova also has a redemption reserve account of approximately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$1,796,196,992.09 and accumulated share premium account of approximately $709,894.68, neither of which is considered part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distributable reserves under Irish law.</w:t>
      </w:r>
    </w:p>
    <w:p>
      <w:pPr>
        <w:spacing w:after="0" w:line="182" w:lineRule="exact"/>
        <w:rPr>
          <w:sz w:val="20"/>
          <w:szCs w:val="20"/>
          <w:color w:val="auto"/>
        </w:rPr>
      </w:pPr>
    </w:p>
    <w:p>
      <w:pPr>
        <w:ind w:left="680" w:right="60"/>
        <w:spacing w:after="0" w:line="271" w:lineRule="auto"/>
        <w:rPr>
          <w:sz w:val="20"/>
          <w:szCs w:val="20"/>
          <w:color w:val="auto"/>
        </w:rPr>
      </w:pPr>
      <w:r>
        <w:rPr>
          <w:rFonts w:ascii="Arial" w:cs="Arial" w:eastAsia="Arial" w:hAnsi="Arial"/>
          <w:sz w:val="16"/>
          <w:szCs w:val="16"/>
          <w:color w:val="auto"/>
        </w:rPr>
        <w:t>In this proposal, Keenova shareholders are being asked to approve a reduction of the Company capital by the entire amount (or such lesser amount as the directors of Keenova or the Irish High Court may determine) of the share premium account and redemption reserve account as at the date of this Proxy Statement or such other lesser amount as the Board of Directors or the Irish High Court may determine, to create additional “distributable reserves.”</w:t>
      </w:r>
    </w:p>
    <w:p>
      <w:pPr>
        <w:spacing w:after="0" w:line="141" w:lineRule="exact"/>
        <w:rPr>
          <w:sz w:val="20"/>
          <w:szCs w:val="20"/>
          <w:color w:val="auto"/>
        </w:rPr>
      </w:pPr>
    </w:p>
    <w:p>
      <w:pPr>
        <w:ind w:left="680" w:right="60"/>
        <w:spacing w:after="0" w:line="265" w:lineRule="auto"/>
        <w:rPr>
          <w:sz w:val="20"/>
          <w:szCs w:val="20"/>
          <w:color w:val="auto"/>
        </w:rPr>
      </w:pPr>
      <w:r>
        <w:rPr>
          <w:rFonts w:ascii="Arial" w:cs="Arial" w:eastAsia="Arial" w:hAnsi="Arial"/>
          <w:sz w:val="16"/>
          <w:szCs w:val="16"/>
          <w:color w:val="auto"/>
        </w:rPr>
        <w:t>The creation of distributable reserves of Keenova as proposed requires confirmation by the Irish High Court. Until the Irish High Court approval is obtained, the ability of Keenova to pay dividends or to repurchase or redeem any shares will be limited to (i) its currently available distributable reserves; and (ii) any further additional distributable reserves created as a result of the profitable operation of Keenova. In addition, although Keenova is not aware of any reason why the Irish High Court would not approve the creation of distributable reserves, the issuance of the required order is a matter for the discretion of the Irish High Court and there is no guarantee of such confirmation from the Irish High Court.</w:t>
      </w:r>
    </w:p>
    <w:p>
      <w:pPr>
        <w:spacing w:after="0" w:line="145" w:lineRule="exact"/>
        <w:rPr>
          <w:sz w:val="20"/>
          <w:szCs w:val="20"/>
          <w:color w:val="auto"/>
        </w:rPr>
      </w:pPr>
    </w:p>
    <w:p>
      <w:pPr>
        <w:ind w:left="680" w:right="80"/>
        <w:spacing w:after="0" w:line="265" w:lineRule="auto"/>
        <w:rPr>
          <w:sz w:val="20"/>
          <w:szCs w:val="20"/>
          <w:color w:val="auto"/>
        </w:rPr>
      </w:pPr>
      <w:r>
        <w:rPr>
          <w:rFonts w:ascii="Arial" w:cs="Arial" w:eastAsia="Arial" w:hAnsi="Arial"/>
          <w:sz w:val="16"/>
          <w:szCs w:val="16"/>
          <w:color w:val="auto"/>
        </w:rPr>
        <w:t>In addition, even if Keenova shareholders approve this proposal and the Irish High Court approves the creation of distributable reserves, there is no guarantee that dividends, share repurchases and/or share redemptions, spin-off or split-off transactions or other forms of distributions to shareholders will occur. Any such transactions will depend on prevailing market conditions, Keenova’s liquidity requirements and other factors and any dividends or distributions will be made only at the discretion of the Board. As of the date of this Proxy Statement, Keenova does not anticipate commencing any share repurchases or dividends or making any distributions for the foreseeable future.</w:t>
      </w:r>
    </w:p>
    <w:p>
      <w:pPr>
        <w:spacing w:after="0" w:line="145" w:lineRule="exact"/>
        <w:rPr>
          <w:sz w:val="20"/>
          <w:szCs w:val="20"/>
          <w:color w:val="auto"/>
        </w:rPr>
      </w:pPr>
    </w:p>
    <w:p>
      <w:pPr>
        <w:jc w:val="both"/>
        <w:ind w:left="680" w:right="460"/>
        <w:spacing w:after="0" w:line="284" w:lineRule="auto"/>
        <w:rPr>
          <w:sz w:val="20"/>
          <w:szCs w:val="20"/>
          <w:color w:val="auto"/>
        </w:rPr>
      </w:pPr>
      <w:r>
        <w:rPr>
          <w:rFonts w:ascii="Arial" w:cs="Arial" w:eastAsia="Arial" w:hAnsi="Arial"/>
          <w:sz w:val="16"/>
          <w:szCs w:val="16"/>
          <w:color w:val="auto"/>
        </w:rPr>
        <w:t>As required under Irish law, the resolution in respect of Proposal 5 is a special resolution that requires the affirmative vote of the holders of at least three-fourths (75%) of the votes cast by the holders of Keenova ordinary shares present and voting, either in person or by proxy, to approve the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63</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266065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Special Resolution</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text of the resolution in respect of Proposal 5 (which is proposed as a special resolution) is as follows: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RESOLVED THAT:</w:t>
      </w:r>
      <w:r>
        <w:rPr>
          <w:rFonts w:ascii="Times New Roman" w:cs="Times New Roman" w:eastAsia="Times New Roman" w:hAnsi="Times New Roman"/>
          <w:sz w:val="21"/>
          <w:szCs w:val="21"/>
          <w:color w:val="auto"/>
        </w:rPr>
        <w:t>​</w:t>
      </w:r>
    </w:p>
    <w:p>
      <w:pPr>
        <w:spacing w:after="0" w:line="122" w:lineRule="exact"/>
        <w:rPr>
          <w:sz w:val="20"/>
          <w:szCs w:val="20"/>
          <w:color w:val="auto"/>
        </w:rPr>
      </w:pPr>
    </w:p>
    <w:p>
      <w:pPr>
        <w:ind w:left="1400" w:right="100" w:hanging="368"/>
        <w:spacing w:after="0" w:line="264" w:lineRule="auto"/>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subject to and with the consent of the Irish High Court in accordance with sections 84 and 85 of the Irish Companies Act 2014 (the “Irish Companies Act”), the entire amount (or such lesser amount as the directors of Keenova or the Irish High Court may determine) standing to the credit of Keenova’s redemption reserve account (being the undenominated capital account of Keenova created pursuant to section 106(4) of the Irish Companies Act) and share premium account as at April 27, 2026 (the “Authorized Amount”) be canceled and extinguished such that the reserve resulting from such cancellation be treated as profits available for distribution as defined by section 117 of the Irish Companies Act (and/or any corresponding provision of any amended or replacement legislation); and</w:t>
      </w:r>
    </w:p>
    <w:p>
      <w:pPr>
        <w:spacing w:after="0" w:line="149" w:lineRule="exact"/>
        <w:rPr>
          <w:rFonts w:ascii="Arial" w:cs="Arial" w:eastAsia="Arial" w:hAnsi="Arial"/>
          <w:sz w:val="16"/>
          <w:szCs w:val="16"/>
          <w:color w:val="auto"/>
        </w:rPr>
      </w:pPr>
    </w:p>
    <w:p>
      <w:pPr>
        <w:ind w:left="1400" w:right="360" w:hanging="368"/>
        <w:spacing w:after="0" w:line="275" w:lineRule="auto"/>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subject to the adoption of resolution 5(a), each director, secretary or executive officer of Keenova, be and is hereby authorized on behalf of Keenova, to proceed to seek the confirmation of the Irish High Court to a reduction of company capital by the Authorized Amount.</w:t>
      </w:r>
    </w:p>
    <w:p>
      <w:pPr>
        <w:spacing w:after="0" w:line="137"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Unless otherwise instructed, the proxies will vote “FOR” this resolution.</w:t>
      </w:r>
    </w:p>
    <w:p>
      <w:pPr>
        <w:spacing w:after="0" w:line="235" w:lineRule="exact"/>
        <w:rPr>
          <w:sz w:val="20"/>
          <w:szCs w:val="20"/>
          <w:color w:val="auto"/>
        </w:rPr>
      </w:pPr>
    </w:p>
    <w:p>
      <w:pPr>
        <w:ind w:left="800" w:right="100" w:hanging="107"/>
        <w:spacing w:after="0" w:line="208" w:lineRule="auto"/>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THE BOARD OF DIRECTORS UNANIMOUSLY RECOMMENDS THAT YOU VOTE </w:t>
      </w:r>
      <w:r>
        <w:rPr>
          <w:rFonts w:ascii="Arial" w:cs="Arial" w:eastAsia="Arial" w:hAnsi="Arial"/>
          <w:sz w:val="16"/>
          <w:szCs w:val="16"/>
          <w:b w:val="1"/>
          <w:bCs w:val="1"/>
          <w:color w:val="3FD4AD"/>
        </w:rPr>
        <w:t>“FOR”</w:t>
      </w:r>
      <w:r>
        <w:rPr>
          <w:rFonts w:ascii="Arial" w:cs="Arial" w:eastAsia="Arial" w:hAnsi="Arial"/>
          <w:sz w:val="16"/>
          <w:szCs w:val="16"/>
          <w:b w:val="1"/>
          <w:bCs w:val="1"/>
          <w:color w:val="auto"/>
        </w:rPr>
        <w:t xml:space="preserve"> THE RESOLUTION SET FORTH IN </w:t>
      </w: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-294005</wp:posOffset>
            </wp:positionV>
            <wp:extent cx="5966460" cy="3257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​64 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822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Proposal 6: Amendment to the Company’s Articles of Association</w:t>
      </w:r>
    </w:p>
    <w:p>
      <w:pPr>
        <w:spacing w:after="0" w:line="112" w:lineRule="exact"/>
        <w:rPr>
          <w:sz w:val="20"/>
          <w:szCs w:val="20"/>
          <w:color w:val="auto"/>
        </w:rPr>
      </w:pPr>
    </w:p>
    <w:p>
      <w:pPr>
        <w:ind w:left="680" w:right="180"/>
        <w:spacing w:after="0" w:line="286" w:lineRule="auto"/>
        <w:rPr>
          <w:sz w:val="20"/>
          <w:szCs w:val="20"/>
          <w:color w:val="auto"/>
        </w:rPr>
      </w:pPr>
      <w:r>
        <w:rPr>
          <w:rFonts w:ascii="Arial" w:cs="Arial" w:eastAsia="Arial" w:hAnsi="Arial"/>
          <w:sz w:val="16"/>
          <w:szCs w:val="16"/>
          <w:color w:val="auto"/>
        </w:rPr>
        <w:t>The Company has publicly disclosed its intention to pursue a listing of its ordinary shares on the NYSE in 2026, subject to approval by the Company’s Board and other considerations and conditions.</w:t>
      </w:r>
    </w:p>
    <w:p>
      <w:pPr>
        <w:spacing w:after="0" w:line="129" w:lineRule="exact"/>
        <w:rPr>
          <w:sz w:val="20"/>
          <w:szCs w:val="20"/>
          <w:color w:val="auto"/>
        </w:rPr>
      </w:pPr>
    </w:p>
    <w:p>
      <w:pPr>
        <w:ind w:left="680" w:right="80"/>
        <w:spacing w:after="0" w:line="254" w:lineRule="auto"/>
        <w:rPr>
          <w:sz w:val="20"/>
          <w:szCs w:val="20"/>
          <w:color w:val="auto"/>
        </w:rPr>
      </w:pPr>
      <w:r>
        <w:rPr>
          <w:rFonts w:ascii="Arial" w:cs="Arial" w:eastAsia="Arial" w:hAnsi="Arial"/>
          <w:sz w:val="16"/>
          <w:szCs w:val="16"/>
          <w:color w:val="auto"/>
        </w:rPr>
        <w:t>At present, all of the Company’s shares are held directly in registered form i.e. the names of the holders are directly recorded on the Company’s register of members as owners of their respective shares. In the event of a listing of the Company’s shares on a U.S. stock exchange, Keenova shares must be eligible for trading and settlement within the DTC clearing and settlement system used for equity trading in the U.S. The DTC clearing system is an intermediated securities settlement system, where legal title to shares is held by a nominee of DTC (Cede &amp; Co.) on the Company’s register of members and trades in underlying shares are recorded electronically through DTC’s book entry system, rather than by updating the Company’s register of members.</w:t>
      </w:r>
    </w:p>
    <w:p>
      <w:pPr>
        <w:spacing w:after="0" w:line="141" w:lineRule="exact"/>
        <w:rPr>
          <w:sz w:val="20"/>
          <w:szCs w:val="20"/>
          <w:color w:val="auto"/>
        </w:rPr>
      </w:pPr>
    </w:p>
    <w:p>
      <w:pPr>
        <w:jc w:val="both"/>
        <w:ind w:left="680" w:right="320"/>
        <w:spacing w:after="0" w:line="266" w:lineRule="auto"/>
        <w:rPr>
          <w:sz w:val="20"/>
          <w:szCs w:val="20"/>
          <w:color w:val="auto"/>
        </w:rPr>
      </w:pPr>
      <w:r>
        <w:rPr>
          <w:rFonts w:ascii="Arial" w:cs="Arial" w:eastAsia="Arial" w:hAnsi="Arial"/>
          <w:sz w:val="16"/>
          <w:szCs w:val="16"/>
          <w:color w:val="auto"/>
        </w:rPr>
        <w:t>Accordingly, the Company’s shareholders are being asked to approve an amendment to the Company’s Articles of Association to prepare for any future U.S. listing by including a new article 28 to facilitate the eligibility of Keenova shares for deposit in the DTC clearing and settlement system.</w:t>
      </w:r>
    </w:p>
    <w:p>
      <w:pPr>
        <w:spacing w:after="0" w:line="131" w:lineRule="exact"/>
        <w:rPr>
          <w:sz w:val="20"/>
          <w:szCs w:val="20"/>
          <w:color w:val="auto"/>
        </w:rPr>
      </w:pPr>
    </w:p>
    <w:p>
      <w:pPr>
        <w:ind w:left="680" w:right="80"/>
        <w:spacing w:after="0" w:line="256" w:lineRule="auto"/>
        <w:rPr>
          <w:sz w:val="20"/>
          <w:szCs w:val="20"/>
          <w:color w:val="auto"/>
        </w:rPr>
      </w:pPr>
      <w:r>
        <w:rPr>
          <w:rFonts w:ascii="Arial" w:cs="Arial" w:eastAsia="Arial" w:hAnsi="Arial"/>
          <w:sz w:val="16"/>
          <w:szCs w:val="16"/>
          <w:color w:val="auto"/>
        </w:rPr>
        <w:t xml:space="preserve">The proposed amendment provides for the automatic transfer at the effective time of any U.S. listing (a “U.S. Listing”) of legal title to all Keenova shares that are currently held in registered form to Cede &amp; Co. in its capacity as nominee for DTC, to be held by Cede &amp; Co. on behalf of DTC eligible participant(s) nominated by the Board for that purpose (a “Designated DTC Participant”). Such Designated DTC Participant(s) will hold interests in all the transferred Keenova shares on behalf of the underlying Original Holders (subject to the interests of the underlying beneficial owner (if any) of such shares). </w:t>
      </w:r>
      <w:r>
        <w:rPr>
          <w:rFonts w:ascii="Arial" w:cs="Arial" w:eastAsia="Arial" w:hAnsi="Arial"/>
          <w:sz w:val="16"/>
          <w:szCs w:val="16"/>
          <w:b w:val="1"/>
          <w:bCs w:val="1"/>
          <w:color w:val="auto"/>
        </w:rPr>
        <w:t>This transfer involves a change in legal title</w:t>
      </w:r>
      <w:r>
        <w:rPr>
          <w:rFonts w:ascii="Arial" w:cs="Arial" w:eastAsia="Arial" w:hAnsi="Arial"/>
          <w:sz w:val="16"/>
          <w:szCs w:val="16"/>
          <w:color w:val="auto"/>
        </w:rPr>
        <w:t xml:space="preserve"> </w:t>
      </w:r>
      <w:r>
        <w:rPr>
          <w:rFonts w:ascii="Arial" w:cs="Arial" w:eastAsia="Arial" w:hAnsi="Arial"/>
          <w:sz w:val="16"/>
          <w:szCs w:val="16"/>
          <w:b w:val="1"/>
          <w:bCs w:val="1"/>
          <w:color w:val="auto"/>
        </w:rPr>
        <w:t>only; there is no change to the underlying beneficial ownership of the relevant Keenova shares.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While the transfer will happen automatically, without any action being required from shareholders:</w:t>
      </w:r>
    </w:p>
    <w:p>
      <w:pPr>
        <w:spacing w:after="0" w:line="194" w:lineRule="exact"/>
        <w:rPr>
          <w:sz w:val="20"/>
          <w:szCs w:val="20"/>
          <w:color w:val="auto"/>
        </w:rPr>
      </w:pPr>
    </w:p>
    <w:p>
      <w:pPr>
        <w:ind w:left="1040" w:right="40" w:hanging="368"/>
        <w:spacing w:after="0" w:line="271" w:lineRule="auto"/>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prior to a U.S. Listing, holders of Keenova shares will be entitled to elect to have their interests in Keenova shares transferred to a bank, broker or other nominee selected by that holder (who is a participant in DTC) rather than a Designated DTC Participant, by submitting a specified instruction to the Company (or such agent as the Company may designate) along with such other information as may be reasonably requested by the Company (or the Company’s agent) in connection therewith;</w:t>
      </w:r>
    </w:p>
    <w:p>
      <w:pPr>
        <w:spacing w:after="0" w:line="127" w:lineRule="exact"/>
        <w:rPr>
          <w:rFonts w:ascii="Arial" w:cs="Arial" w:eastAsia="Arial" w:hAnsi="Arial"/>
          <w:sz w:val="16"/>
          <w:szCs w:val="16"/>
          <w:color w:val="auto"/>
        </w:rPr>
      </w:pPr>
    </w:p>
    <w:p>
      <w:pPr>
        <w:ind w:left="1040" w:right="120" w:hanging="368"/>
        <w:spacing w:after="0" w:line="269" w:lineRule="auto"/>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prior to a U.S. Listing, holders may also elect to retain their Keenova shares directly in “registered form” by submitting a specified instruction to the Company (or such agent as the Company may designate). However, shareholders should be aware that they will not be able to immediately settle trades in respect of their shares on the NYSE (or other applicable U.S. stock exchange) in the ordinary course unless and until they subsequently arrange for those shares to be transferred into the DTC clearing system; and</w:t>
      </w:r>
    </w:p>
    <w:p>
      <w:pPr>
        <w:spacing w:after="0" w:line="143" w:lineRule="exact"/>
        <w:rPr>
          <w:rFonts w:ascii="Arial" w:cs="Arial" w:eastAsia="Arial" w:hAnsi="Arial"/>
          <w:sz w:val="16"/>
          <w:szCs w:val="16"/>
          <w:color w:val="auto"/>
        </w:rPr>
      </w:pPr>
    </w:p>
    <w:p>
      <w:pPr>
        <w:ind w:left="1040" w:hanging="368"/>
        <w:spacing w:after="0" w:line="262" w:lineRule="auto"/>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following a U.S. Listing, the Company may grant a further election period of up to 6 months or such greater or shorter time period as the Directors determine is appropriate) (the “Post-Listing Election Deadline”) during which time, Original Holders whose interests are held by a Designated DTC Participant may elect to (i) have their interests in Keenova shares transferred to another bank, broker or other nominee selected by that holder (who is a participant in DTC) or (ii) transfer their interests into registered form to be held in their own name on the Company’s register of members, by submitting a specified instruction to the Company (or such agent as the Company may designate). If no election is made prior to the expiry of the Post-Listing Election Period, any shares held through a Designated DTC Participant will be transferred into the registered name of the Original Holder to which such shares related.</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expect to communicate the relevant procedures to shareholders in advance of any U.S. Listing.</w:t>
      </w:r>
    </w:p>
    <w:p>
      <w:pPr>
        <w:spacing w:after="0" w:line="194" w:lineRule="exact"/>
        <w:rPr>
          <w:sz w:val="20"/>
          <w:szCs w:val="20"/>
          <w:color w:val="auto"/>
        </w:rPr>
      </w:pPr>
    </w:p>
    <w:p>
      <w:pPr>
        <w:ind w:left="680" w:right="120"/>
        <w:spacing w:after="0" w:line="254" w:lineRule="auto"/>
        <w:rPr>
          <w:sz w:val="20"/>
          <w:szCs w:val="20"/>
          <w:color w:val="auto"/>
        </w:rPr>
      </w:pPr>
      <w:r>
        <w:rPr>
          <w:rFonts w:ascii="Arial" w:cs="Arial" w:eastAsia="Arial" w:hAnsi="Arial"/>
          <w:sz w:val="16"/>
          <w:szCs w:val="16"/>
          <w:color w:val="auto"/>
        </w:rPr>
        <w:t>Certain shares may not be eligible for transfer into the DTC clearing and settlement system, for example, because of restrictions under US federal securities laws, DTC’s own rules, or other applicable law. There may also be shares which the Board considers, in its absolute discretion, would be inappropriate or inadvisable to transfer to DTC (the “Restricted Shares”). Restricted Shares will not automatically transfer to DTC at the effective time of a U.S. Listing. Instead, the proposed amendment would authorize the Board to put in place alternative arrangements for those shares to be held in a manner consistent with the requirements of a U.S. Listing (including potentially leaving such shares in registered form).</w:t>
      </w:r>
    </w:p>
    <w:p>
      <w:pPr>
        <w:spacing w:after="0" w:line="155" w:lineRule="exact"/>
        <w:rPr>
          <w:sz w:val="20"/>
          <w:szCs w:val="20"/>
          <w:color w:val="auto"/>
        </w:rPr>
      </w:pPr>
    </w:p>
    <w:p>
      <w:pPr>
        <w:ind w:left="680" w:right="180"/>
        <w:spacing w:after="0" w:line="271" w:lineRule="auto"/>
        <w:rPr>
          <w:sz w:val="20"/>
          <w:szCs w:val="20"/>
          <w:color w:val="auto"/>
        </w:rPr>
      </w:pPr>
      <w:r>
        <w:rPr>
          <w:rFonts w:ascii="Arial" w:cs="Arial" w:eastAsia="Arial" w:hAnsi="Arial"/>
          <w:sz w:val="16"/>
          <w:szCs w:val="16"/>
          <w:color w:val="auto"/>
        </w:rPr>
        <w:t>The Board will set a date and time (the “U.S. Listing Record Date”) to determine each shareholder’s holding for the purposes of the arrangements described above. The U.S. Listing Record Date will be announced to shareholders in advance of a U.S. Listing. All shares in issue as at the U.S. Listing Record Date (other than any Restricted Shares or where the holder has elected to retain their registered form shares) will be subject to the automatic transfer and other arrangements described above.</w:t>
      </w:r>
    </w:p>
    <w:p>
      <w:pPr>
        <w:spacing w:after="0" w:line="141" w:lineRule="exact"/>
        <w:rPr>
          <w:sz w:val="20"/>
          <w:szCs w:val="20"/>
          <w:color w:val="auto"/>
        </w:rPr>
      </w:pPr>
    </w:p>
    <w:p>
      <w:pPr>
        <w:ind w:left="680" w:right="140"/>
        <w:spacing w:after="0" w:line="275" w:lineRule="auto"/>
        <w:rPr>
          <w:sz w:val="20"/>
          <w:szCs w:val="20"/>
          <w:color w:val="auto"/>
        </w:rPr>
      </w:pPr>
      <w:r>
        <w:rPr>
          <w:rFonts w:ascii="Arial" w:cs="Arial" w:eastAsia="Arial" w:hAnsi="Arial"/>
          <w:sz w:val="16"/>
          <w:szCs w:val="16"/>
          <w:color w:val="auto"/>
        </w:rPr>
        <w:t>Amending the Company’s Articles of Association is, in the Board’s view, the most practical way to enable the Company to make Keenova shares eligible for deposit in the DTC clearing system to facilitate a U.S. Listing in the future. The amendment proposed to the Company’s Articles of Association will have no effect until immediately prior to or upon a U.S. Listing.</w:t>
      </w:r>
    </w:p>
    <w:p>
      <w:pPr>
        <w:spacing w:after="0" w:line="158" w:lineRule="exact"/>
        <w:rPr>
          <w:sz w:val="20"/>
          <w:szCs w:val="20"/>
          <w:color w:val="auto"/>
        </w:rPr>
      </w:pPr>
    </w:p>
    <w:p>
      <w:pPr>
        <w:jc w:val="right"/>
        <w:spacing w:after="0"/>
        <w:tabs>
          <w:tab w:leader="none" w:pos="1640" w:val="left"/>
        </w:tabs>
        <w:rPr>
          <w:sz w:val="20"/>
          <w:szCs w:val="20"/>
          <w:color w:val="auto"/>
        </w:rPr>
      </w:pP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264795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-39370</wp:posOffset>
            </wp:positionV>
            <wp:extent cx="445770" cy="685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16" w:lineRule="exact"/>
        <w:rPr>
          <w:sz w:val="20"/>
          <w:szCs w:val="20"/>
          <w:color w:val="auto"/>
        </w:rPr>
      </w:pPr>
    </w:p>
    <w:p>
      <w:pPr>
        <w:ind w:left="680" w:right="80"/>
        <w:spacing w:after="0" w:line="266" w:lineRule="auto"/>
        <w:rPr>
          <w:sz w:val="20"/>
          <w:szCs w:val="20"/>
          <w:color w:val="auto"/>
        </w:rPr>
      </w:pPr>
      <w:r>
        <w:rPr>
          <w:rFonts w:ascii="Arial" w:cs="Arial" w:eastAsia="Arial" w:hAnsi="Arial"/>
          <w:sz w:val="16"/>
          <w:szCs w:val="16"/>
          <w:color w:val="auto"/>
        </w:rPr>
        <w:t>Even if Keenova shareholders approve this proposal, there is no guarantee that a U.S. Listing will occur. A decision to proceed with a U.S. Listing will be subject to Board approval at the relevant time, as well as to obtaining relevant stock exchange clearances and completing any SEC process.</w:t>
      </w:r>
    </w:p>
    <w:p>
      <w:pPr>
        <w:spacing w:after="0" w:line="131" w:lineRule="exact"/>
        <w:rPr>
          <w:sz w:val="20"/>
          <w:szCs w:val="20"/>
          <w:color w:val="auto"/>
        </w:rPr>
      </w:pPr>
    </w:p>
    <w:p>
      <w:pPr>
        <w:jc w:val="both"/>
        <w:ind w:left="680" w:right="460"/>
        <w:spacing w:after="0" w:line="266" w:lineRule="auto"/>
        <w:rPr>
          <w:sz w:val="20"/>
          <w:szCs w:val="20"/>
          <w:color w:val="auto"/>
        </w:rPr>
      </w:pPr>
      <w:r>
        <w:rPr>
          <w:rFonts w:ascii="Arial" w:cs="Arial" w:eastAsia="Arial" w:hAnsi="Arial"/>
          <w:sz w:val="16"/>
          <w:szCs w:val="16"/>
          <w:color w:val="auto"/>
        </w:rPr>
        <w:t>As required under Irish law, the resolution in respect of Proposal 6 is a special resolution that requires the affirmative vote of the holders of at least three-fourths (75%) of the votes cast by the holders of Keenova ordinary shares present and voting, either in person or by proxy, to approve the resolution.</w:t>
      </w:r>
    </w:p>
    <w:p>
      <w:pPr>
        <w:spacing w:after="0" w:line="131" w:lineRule="exact"/>
        <w:rPr>
          <w:sz w:val="20"/>
          <w:szCs w:val="20"/>
          <w:color w:val="auto"/>
        </w:rPr>
      </w:pPr>
    </w:p>
    <w:p>
      <w:pPr>
        <w:ind w:left="680" w:right="120"/>
        <w:spacing w:after="0" w:line="286" w:lineRule="auto"/>
        <w:rPr>
          <w:sz w:val="20"/>
          <w:szCs w:val="20"/>
          <w:color w:val="auto"/>
        </w:rPr>
      </w:pPr>
      <w:r>
        <w:rPr>
          <w:rFonts w:ascii="Arial" w:cs="Arial" w:eastAsia="Arial" w:hAnsi="Arial"/>
          <w:sz w:val="16"/>
          <w:szCs w:val="16"/>
          <w:color w:val="auto"/>
        </w:rPr>
        <w:t>The description of the proposed amendment is only a summary and is qualified in its entirety by reference to the complete text of the resolution below. You are therefore strongly urged to read carefully the full text of the resolution below before casting your vote.</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Special Resolution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text of the resolution in respect of Proposal 6 (which is proposed as a special resolution) is as follows:</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RESOLVED THAT:</w:t>
      </w:r>
    </w:p>
    <w:p>
      <w:pPr>
        <w:spacing w:after="0" w:line="113" w:lineRule="exact"/>
        <w:rPr>
          <w:sz w:val="20"/>
          <w:szCs w:val="20"/>
          <w:color w:val="auto"/>
        </w:rPr>
      </w:pPr>
    </w:p>
    <w:p>
      <w:pPr>
        <w:ind w:left="680" w:right="440"/>
        <w:spacing w:after="0" w:line="266" w:lineRule="auto"/>
        <w:rPr>
          <w:sz w:val="20"/>
          <w:szCs w:val="20"/>
          <w:color w:val="auto"/>
        </w:rPr>
      </w:pPr>
      <w:r>
        <w:rPr>
          <w:rFonts w:ascii="Arial" w:cs="Arial" w:eastAsia="Arial" w:hAnsi="Arial"/>
          <w:sz w:val="16"/>
          <w:szCs w:val="16"/>
          <w:color w:val="auto"/>
        </w:rPr>
        <w:t>The Constitution of the Company be amended by the insertion of the following new article in its Articles of Association, to be numbered as article 28, and the current article 28 to be renumbered as article 29, and the subsequent articles to be sequentially renumbered:</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28. Arrangements in respect of a listing of the Company’s Shares in the U.S.</w:t>
      </w:r>
    </w:p>
    <w:p>
      <w:pPr>
        <w:spacing w:after="0" w:line="127" w:lineRule="exact"/>
        <w:rPr>
          <w:sz w:val="20"/>
          <w:szCs w:val="20"/>
          <w:color w:val="auto"/>
        </w:rPr>
      </w:pPr>
    </w:p>
    <w:p>
      <w:pPr>
        <w:ind w:left="1040" w:right="60" w:hanging="368"/>
        <w:spacing w:after="0" w:line="264" w:lineRule="auto"/>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article 28(c), 28(d), 28(f) and 28(h), immediately prior to or upon a listing of the Company’s shares on the New York Stock Exchange or the Nasdaq Stock Market (as the Directors may determine) (the “U.S. Listing”) becoming effective (the “Effective Time”) legal title to all shares of the Company (or such classes thereof as the Directors may determine) which are held in registered form at the U.S. Listing Record Date shall automatically be transferred from their Holders (the “Original Holders”) to Cede &amp; Co. (as nominee for DTC) to be held by Cede &amp; Co. pursuant to the rules and regulations of DTC and in accordance with article 28(b). The transfer will not give rise to any change to the underlying beneficial ownership of such shares which will remain unaffected by such transfer.</w:t>
      </w:r>
    </w:p>
    <w:p>
      <w:pPr>
        <w:spacing w:after="0" w:line="149" w:lineRule="exact"/>
        <w:rPr>
          <w:rFonts w:ascii="Arial" w:cs="Arial" w:eastAsia="Arial" w:hAnsi="Arial"/>
          <w:sz w:val="16"/>
          <w:szCs w:val="16"/>
          <w:color w:val="auto"/>
        </w:rPr>
      </w:pPr>
    </w:p>
    <w:p>
      <w:pPr>
        <w:ind w:left="1040" w:right="60" w:hanging="368"/>
        <w:spacing w:after="0" w:line="271" w:lineRule="auto"/>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article 28(c), 28(d), 28(f) and 28(h), Cede &amp; Co will hold the shares on behalf of one or more DTC Participants designated by the Directors (acting in their absolute discretion) for this purpose (a “Designated DTC Participant”), which will hold interests in such shares on behalf of the relevant Original Holder, subject to the interests of the underlying beneficial owner (if any) of such shares.</w:t>
      </w:r>
    </w:p>
    <w:p>
      <w:pPr>
        <w:spacing w:after="0" w:line="127" w:lineRule="exact"/>
        <w:rPr>
          <w:rFonts w:ascii="Arial" w:cs="Arial" w:eastAsia="Arial" w:hAnsi="Arial"/>
          <w:sz w:val="16"/>
          <w:szCs w:val="16"/>
          <w:color w:val="auto"/>
        </w:rPr>
      </w:pPr>
    </w:p>
    <w:p>
      <w:pPr>
        <w:ind w:left="1040" w:right="40" w:hanging="368"/>
        <w:spacing w:after="0" w:line="262" w:lineRule="auto"/>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Original Holder (or any beneficial owner nominated by such Original Holder in respect of shares held by the Original Holder on the US Listing Record Date) whose shares are transferred in accordance with article 28(a) may, no later than the 15th business day prior to the effectiveness of the U.S. Listing (or such earlier or later deadline as the Directors may determine is appropriate having regard to the orderly facilitation of the U.S. Listing) (the “Pre-Listing Election Deadline”), elect to have their interests transferred at the Effective Time to a designated DTC Participant account nominated by it by submitting an instruction in a form specified by the Company (or such agent as the Company may designate) (a “Specified Instruction”) to the Company (or the Company’s agent) specifying the DTC Participant account to which such holdings should be transferred at the Effective Time, together with such other information as may be reasonably requested by the Company (or the Company’s agent) in connection therewith. The Directors are irrevocably instructed and authorised to make such arrangements as they, acting in their absolute discretion, consider necessary, desirable or appropriate to give effect to any Specified Instructions.</w:t>
      </w:r>
    </w:p>
    <w:p>
      <w:pPr>
        <w:spacing w:after="0" w:line="151" w:lineRule="exact"/>
        <w:rPr>
          <w:rFonts w:ascii="Arial" w:cs="Arial" w:eastAsia="Arial" w:hAnsi="Arial"/>
          <w:sz w:val="16"/>
          <w:szCs w:val="16"/>
          <w:color w:val="auto"/>
        </w:rPr>
      </w:pPr>
    </w:p>
    <w:p>
      <w:pPr>
        <w:ind w:left="1040" w:right="60" w:hanging="368"/>
        <w:spacing w:after="0" w:line="260" w:lineRule="auto"/>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shares transferred to a Designated DTC Participant at the Effective Time (in accordance with article 28(a)) (that have not otherwise been transferred in accordance with article 28(c) prior to the Pre-Listing Election Deadline), shall be held by a Designated DTC Participant pursuant to article 28(b) for a period of up to 6 months from the Effective Time (or such other greater or shorter time period as the Directors may determine is appropriate) (the “Post-Listing Election Period”), during which period, the Company may extend a facility to Original Holders (or any beneficial owner nominated by such Original Holder) to elect to (i) have their interests transferred to a designated DTC Participant account nominated by it by submitting a Specified Instruction to the Company (or such agent as the Company may designate) specifying the DTC Participant account to which such holdings should be transferred, together with such other information as may be reasonably requested by the Company (or the Company’s agent), or (ii) transfer their interests in the Company into registered form and be recorded in the Register as the Holder of such shares. Subject to the discretion of the Directors to extend the Post-Listing Election Period or to put other arrangements in place for the holding of relevant shares, any shares remaining in a Designated DTC Participant account on the expiry of the Post-Listing Election Period shall be transferred into the registered name of the Original Holder to which such shares related. The Directors are irrevocably instructed and authorised to make such arrangements as they acting in their absolute discretion, consider necessary, desirable or appropriate to give effect to any Specified Instructions or to transfer shares into the registered name of the Original Holder to which such shares related on (A) the election of the Original Holder prior to the expiry of the Post-Listing Election Period or (B) the expiry of the Post-Listing Election Period.</w:t>
      </w:r>
    </w:p>
    <w:p>
      <w:pPr>
        <w:sectPr>
          <w:pgSz w:w="11900" w:h="16838" w:orient="portrait"/>
          <w:cols w:equalWidth="0" w:num="1">
            <w:col w:w="10100"/>
          </w:cols>
          <w:pgMar w:left="580" w:top="97" w:right="1219" w:bottom="1440" w:gutter="0" w:footer="0" w:header="0"/>
        </w:sectPr>
      </w:pPr>
    </w:p>
    <w:p>
      <w:pPr>
        <w:spacing w:after="0" w:line="336" w:lineRule="exact"/>
        <w:rPr>
          <w:sz w:val="20"/>
          <w:szCs w:val="20"/>
          <w:color w:val="auto"/>
        </w:rPr>
      </w:pPr>
    </w:p>
    <w:p>
      <w:pPr>
        <w:ind w:left="680"/>
        <w:spacing w:after="0"/>
        <w:tabs>
          <w:tab w:leader="none" w:pos="5260" w:val="left"/>
          <w:tab w:leader="none" w:pos="10040" w:val="left"/>
        </w:tabs>
        <w:rPr>
          <w:sz w:val="20"/>
          <w:szCs w:val="20"/>
          <w:color w:val="auto"/>
        </w:rPr>
      </w:pPr>
      <w:r>
        <w:rPr>
          <w:rFonts w:ascii="Arial" w:cs="Arial" w:eastAsia="Arial" w:hAnsi="Arial"/>
          <w:sz w:val="13"/>
          <w:szCs w:val="13"/>
          <w:color w:val="323232"/>
        </w:rPr>
        <w:t>​66 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-43180</wp:posOffset>
            </wp:positionV>
            <wp:extent cx="445770" cy="685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822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16" w:lineRule="exact"/>
        <w:rPr>
          <w:sz w:val="20"/>
          <w:szCs w:val="20"/>
          <w:color w:val="auto"/>
        </w:rPr>
      </w:pPr>
    </w:p>
    <w:p>
      <w:pPr>
        <w:ind w:left="1040" w:right="60" w:hanging="368"/>
        <w:spacing w:after="0" w:line="286"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transfers pursuant to article 28(a), 28(c) or 28(d) shall be made in accordance with such procedures, timelines and eligibility requirements as the Directors may determine and communicate from time to time.</w:t>
      </w:r>
    </w:p>
    <w:p>
      <w:pPr>
        <w:spacing w:after="0" w:line="128" w:lineRule="exact"/>
        <w:rPr>
          <w:rFonts w:ascii="Arial" w:cs="Arial" w:eastAsia="Arial" w:hAnsi="Arial"/>
          <w:sz w:val="16"/>
          <w:szCs w:val="16"/>
          <w:color w:val="auto"/>
        </w:rPr>
      </w:pPr>
    </w:p>
    <w:p>
      <w:pPr>
        <w:ind w:left="1040" w:right="160" w:hanging="368"/>
        <w:spacing w:after="0" w:line="269"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Holder shall, prior to the Pre-Listing Election Deadline have the right to expressly opt out from the automatic transfer to DTC provided for in article 28(a) by delivering a Specified Instruction to the Company (or such agent as the Company may designate). Any such Holder who validly opts out of the transfer in accordance with this article 28(f) shall not have their shares transferred pursuant to article 28(a) at the Effective Time and such shares shall remain in registered on the Register (until such time as they are otherwise transferred, transmitted or cancelled).</w:t>
      </w:r>
    </w:p>
    <w:p>
      <w:pPr>
        <w:spacing w:after="0" w:line="143" w:lineRule="exact"/>
        <w:rPr>
          <w:rFonts w:ascii="Arial" w:cs="Arial" w:eastAsia="Arial" w:hAnsi="Arial"/>
          <w:sz w:val="16"/>
          <w:szCs w:val="16"/>
          <w:color w:val="auto"/>
        </w:rPr>
      </w:pPr>
    </w:p>
    <w:p>
      <w:pPr>
        <w:jc w:val="both"/>
        <w:ind w:left="1040" w:right="220" w:hanging="368"/>
        <w:spacing w:after="0" w:line="275"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outstanding share certificate(s) in respect of shares transferred pursuant to this article 28 shall be automatically cancelled without any further action by the Holder of such shares or the Company (or by the Company’s appointed Registrar or transfer agent).</w:t>
      </w:r>
    </w:p>
    <w:p>
      <w:pPr>
        <w:spacing w:after="0" w:line="137" w:lineRule="exact"/>
        <w:rPr>
          <w:rFonts w:ascii="Arial" w:cs="Arial" w:eastAsia="Arial" w:hAnsi="Arial"/>
          <w:sz w:val="16"/>
          <w:szCs w:val="16"/>
          <w:color w:val="auto"/>
        </w:rPr>
      </w:pPr>
    </w:p>
    <w:p>
      <w:pPr>
        <w:ind w:left="1040" w:right="100" w:hanging="368"/>
        <w:spacing w:after="0" w:line="262"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Article 28(a) shall not apply to any share in the Company which the Directors, acting in their absolute discretion on or before the Effective Time, determine to be a Restricted Share. Instead, the Directors are irrevocably instructed and authorised to make such arrangements as they, acting in their absolute discretion, consider necessary, desirable or appropriate in relation to any Restricted Share(s) so that, following the Effective Time, such Restricted Share(s) are held in a manner that facilitates the effectiveness of a U.S. Listing (including potentially leaving such Restricted Shares in registered form). The power conferred on the Directors pursuant to this article 28(h) shall include, but is not limited to the power to transfer, as attorney and/or agent on behalf of any Restricted Shareholder, legal title to any Restricted Share to such third party as the Directors may reasonably determine, in each case in order to comply with applicable U.S. federal securities laws, contractual restrictions, the rules and regulations of DTC or any other applicable law and without any change to the underlying beneficial ownership.</w:t>
      </w:r>
    </w:p>
    <w:p>
      <w:pPr>
        <w:spacing w:after="0" w:line="149" w:lineRule="exact"/>
        <w:rPr>
          <w:rFonts w:ascii="Arial" w:cs="Arial" w:eastAsia="Arial" w:hAnsi="Arial"/>
          <w:sz w:val="16"/>
          <w:szCs w:val="16"/>
          <w:color w:val="auto"/>
        </w:rPr>
      </w:pPr>
    </w:p>
    <w:p>
      <w:pPr>
        <w:ind w:left="1040" w:right="300" w:hanging="368"/>
        <w:spacing w:after="0" w:line="271"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mandates, preferences, elections and instructions of Holders of U.S. Migrating Shares relating to the payment currency of dividends, notices and other communications which are in force immediately prior to the Effective Time will, to the extent reasonably possible, be continued after the Effective Time unless and until varied or revoked by such Holder at any time thereafter.</w:t>
      </w:r>
    </w:p>
    <w:p>
      <w:pPr>
        <w:spacing w:after="0" w:line="140" w:lineRule="exact"/>
        <w:rPr>
          <w:rFonts w:ascii="Arial" w:cs="Arial" w:eastAsia="Arial" w:hAnsi="Arial"/>
          <w:sz w:val="16"/>
          <w:szCs w:val="16"/>
          <w:color w:val="auto"/>
        </w:rPr>
      </w:pPr>
    </w:p>
    <w:p>
      <w:pPr>
        <w:ind w:left="1040" w:right="400" w:hanging="368"/>
        <w:spacing w:after="0" w:line="286"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Holder of U.S. Migrating Shares is deemed to have irrevocably consented and agreed to the following with immediate effect from the adoption of this article 28:</w:t>
      </w:r>
    </w:p>
    <w:p>
      <w:pPr>
        <w:spacing w:after="0" w:line="128" w:lineRule="exact"/>
        <w:rPr>
          <w:rFonts w:ascii="Arial" w:cs="Arial" w:eastAsia="Arial" w:hAnsi="Arial"/>
          <w:sz w:val="16"/>
          <w:szCs w:val="16"/>
          <w:color w:val="auto"/>
        </w:rPr>
      </w:pPr>
    </w:p>
    <w:p>
      <w:pPr>
        <w:ind w:left="1400" w:right="60" w:hanging="368"/>
        <w:spacing w:after="0" w:line="262" w:lineRule="auto"/>
        <w:tabs>
          <w:tab w:leader="none" w:pos="14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Company is irrevocably instructed and authorised to appoint any person (including any officer or employee of the Company or the Registrar or DTC) as attorney or agent for the Holders of U.S. Migrating Shares (or any subsequent Holder or any nominee of such Holder) to take all such actions and to do all such other things and execute and deliver all such documents and electronic communications as may be required or as may, in the opinion of such attorney or agent, be necessary or desirable to give full effect to the provisions of article 28 including but not limited to executing and delivering as or on behalf of, the transferor any instrument of transfer, form of register removal or instructions of transfer, whether in written or electronic form on behalf of the relevant Holder of shares (or any subsequent Holder or any nominee of such Holder) in favour of any person, including any transfer of legal title to shares to or from Cede &amp; Co. (as nominee for DTC), without any change to the underlying beneficial ownership of the relevant shares, as contemplated in article 28(a) or article 28(d). Each Holder of U.S. Migrating Shares is deemed to have consented to and authorises the attorney or agent to release such personal data of the Holder as is required to affect the transfer of the legal title to the shares as contemplated by this article 28; and</w:t>
      </w:r>
    </w:p>
    <w:p>
      <w:pPr>
        <w:spacing w:after="0" w:line="141" w:lineRule="exact"/>
        <w:rPr>
          <w:rFonts w:ascii="Arial" w:cs="Arial" w:eastAsia="Arial" w:hAnsi="Arial"/>
          <w:sz w:val="16"/>
          <w:szCs w:val="16"/>
          <w:color w:val="auto"/>
        </w:rPr>
      </w:pPr>
    </w:p>
    <w:p>
      <w:pPr>
        <w:ind w:left="1400" w:right="40" w:hanging="368"/>
        <w:spacing w:after="0" w:line="271" w:lineRule="auto"/>
        <w:tabs>
          <w:tab w:leader="none" w:pos="14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Registrar and/or the Secretary may complete the registration of the transfer of the legal title to any share as described in this article 28 by registering the relevant shares in the name of the transferee in the Register without having to furnish the former Holder of the U.S. Migrating Shares with any evidence of transfer of the legal title to the shares or receipt of any consideration for the transfer of the legal title to the shares.</w:t>
      </w:r>
    </w:p>
    <w:p>
      <w:pPr>
        <w:spacing w:after="0" w:line="140" w:lineRule="exact"/>
        <w:rPr>
          <w:rFonts w:ascii="Arial" w:cs="Arial" w:eastAsia="Arial" w:hAnsi="Arial"/>
          <w:sz w:val="16"/>
          <w:szCs w:val="16"/>
          <w:color w:val="auto"/>
        </w:rPr>
      </w:pPr>
    </w:p>
    <w:p>
      <w:pPr>
        <w:ind w:left="1040" w:right="40" w:hanging="368"/>
        <w:spacing w:after="0" w:line="304"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Holders of the U.S. Migrating Shares agree that none of the Company, the Directors, the Registrar, or the Secretary shall be liable in any way in connection with:</w:t>
      </w:r>
    </w:p>
    <w:p>
      <w:pPr>
        <w:spacing w:after="0" w:line="114" w:lineRule="exact"/>
        <w:rPr>
          <w:rFonts w:ascii="Arial" w:cs="Arial" w:eastAsia="Arial" w:hAnsi="Arial"/>
          <w:sz w:val="16"/>
          <w:szCs w:val="16"/>
          <w:color w:val="auto"/>
        </w:rPr>
      </w:pPr>
    </w:p>
    <w:p>
      <w:pPr>
        <w:jc w:val="both"/>
        <w:ind w:left="1400" w:right="80" w:hanging="368"/>
        <w:spacing w:after="0" w:line="275" w:lineRule="auto"/>
        <w:tabs>
          <w:tab w:leader="none" w:pos="14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of the actions taken in respect of the transfer of the legal title to the shares to Cede &amp; Co., or to any other person or as otherwise permitted, without any change to the underlying beneficial ownership of the relevant shares, whether pursuant to the authorities granted by the Holders of the shares pursuant to this article 28 or otherwise;</w:t>
      </w:r>
    </w:p>
    <w:p>
      <w:pPr>
        <w:spacing w:after="0" w:line="137" w:lineRule="exact"/>
        <w:rPr>
          <w:rFonts w:ascii="Arial" w:cs="Arial" w:eastAsia="Arial" w:hAnsi="Arial"/>
          <w:sz w:val="16"/>
          <w:szCs w:val="16"/>
          <w:color w:val="auto"/>
        </w:rPr>
      </w:pPr>
    </w:p>
    <w:p>
      <w:pPr>
        <w:ind w:left="1400" w:right="480" w:hanging="368"/>
        <w:spacing w:after="0" w:line="286" w:lineRule="auto"/>
        <w:tabs>
          <w:tab w:leader="none" w:pos="14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failures and/or errors in the systems, processes or procedures of the Registrar or DTC which adversely affect the transfer of legal title to the shares to Cede &amp; Co. or as otherwise permitted by this article 28;</w:t>
      </w:r>
    </w:p>
    <w:p>
      <w:pPr>
        <w:spacing w:after="0" w:line="128" w:lineRule="exact"/>
        <w:rPr>
          <w:rFonts w:ascii="Arial" w:cs="Arial" w:eastAsia="Arial" w:hAnsi="Arial"/>
          <w:sz w:val="16"/>
          <w:szCs w:val="16"/>
          <w:color w:val="auto"/>
        </w:rPr>
      </w:pPr>
    </w:p>
    <w:p>
      <w:pPr>
        <w:ind w:left="1400" w:hanging="368"/>
        <w:spacing w:after="0"/>
        <w:tabs>
          <w:tab w:leader="none" w:pos="14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action taken in respect of any Restricted Share(s) in accordance with this article 28.</w:t>
      </w:r>
    </w:p>
    <w:p>
      <w:pPr>
        <w:spacing w:after="0" w:line="194" w:lineRule="exact"/>
        <w:rPr>
          <w:rFonts w:ascii="Arial" w:cs="Arial" w:eastAsia="Arial" w:hAnsi="Arial"/>
          <w:sz w:val="16"/>
          <w:szCs w:val="16"/>
          <w:color w:val="auto"/>
        </w:rPr>
      </w:pPr>
    </w:p>
    <w:p>
      <w:pPr>
        <w:ind w:left="1040" w:hanging="368"/>
        <w:spacing w:after="0"/>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Nothing in this article 28 will be deemed to affect or transfer any beneficial interest in the U.S. Migrating Shares.</w:t>
      </w:r>
    </w:p>
    <w:p>
      <w:pPr>
        <w:sectPr>
          <w:pgSz w:w="11900" w:h="16838" w:orient="portrait"/>
          <w:cols w:equalWidth="0" w:num="1">
            <w:col w:w="10100"/>
          </w:cols>
          <w:pgMar w:left="580" w:top="97" w:right="1219" w:bottom="1440" w:gutter="0" w:footer="0" w:header="0"/>
        </w:sectPr>
      </w:pPr>
    </w:p>
    <w:p>
      <w:pPr>
        <w:spacing w:after="0" w:line="215"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67</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Proposals Requiring Your Vote</w:t>
      </w:r>
    </w:p>
    <w:p>
      <w:pPr>
        <w:spacing w:after="0" w:line="200" w:lineRule="exact"/>
        <w:rPr>
          <w:sz w:val="20"/>
          <w:szCs w:val="20"/>
          <w:color w:val="auto"/>
        </w:rPr>
      </w:pPr>
    </w:p>
    <w:p>
      <w:pPr>
        <w:spacing w:after="0" w:line="216" w:lineRule="exact"/>
        <w:rPr>
          <w:sz w:val="20"/>
          <w:szCs w:val="20"/>
          <w:color w:val="auto"/>
        </w:rPr>
      </w:pPr>
    </w:p>
    <w:p>
      <w:pPr>
        <w:ind w:left="1040" w:hanging="368"/>
        <w:spacing w:after="0"/>
        <w:tabs>
          <w:tab w:leader="none" w:pos="10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this article 28:</w:t>
      </w:r>
    </w:p>
    <w:p>
      <w:pPr>
        <w:spacing w:after="0" w:line="194"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DTC Participant</w:t>
      </w:r>
      <w:r>
        <w:rPr>
          <w:rFonts w:ascii="Arial" w:cs="Arial" w:eastAsia="Arial" w:hAnsi="Arial"/>
          <w:sz w:val="16"/>
          <w:szCs w:val="16"/>
          <w:color w:val="auto"/>
        </w:rPr>
        <w:t>” has the meaning given to such term in article 28(b);</w:t>
      </w:r>
    </w:p>
    <w:p>
      <w:pPr>
        <w:spacing w:after="0" w:line="194" w:lineRule="exact"/>
        <w:rPr>
          <w:rFonts w:ascii="Arial" w:cs="Arial" w:eastAsia="Arial" w:hAnsi="Arial"/>
          <w:sz w:val="16"/>
          <w:szCs w:val="16"/>
          <w:color w:val="auto"/>
        </w:rPr>
      </w:pPr>
    </w:p>
    <w:p>
      <w:pPr>
        <w:ind w:left="1400" w:right="40" w:hanging="368"/>
        <w:spacing w:after="0" w:line="275" w:lineRule="auto"/>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DTC</w:t>
      </w:r>
      <w:r>
        <w:rPr>
          <w:rFonts w:ascii="Arial" w:cs="Arial" w:eastAsia="Arial" w:hAnsi="Arial"/>
          <w:sz w:val="16"/>
          <w:szCs w:val="16"/>
          <w:color w:val="auto"/>
        </w:rPr>
        <w:t>”, means the Depository Trust Company, a central securities depository which provides book-entry and depository and settlement services for companies including those whose securities are listed on the New York Stock Exchange and Nasdaq Stock Market;</w:t>
      </w:r>
    </w:p>
    <w:p>
      <w:pPr>
        <w:spacing w:after="0" w:line="137" w:lineRule="exact"/>
        <w:rPr>
          <w:rFonts w:ascii="Arial" w:cs="Arial" w:eastAsia="Arial" w:hAnsi="Arial"/>
          <w:sz w:val="16"/>
          <w:szCs w:val="16"/>
          <w:color w:val="auto"/>
        </w:rPr>
      </w:pPr>
    </w:p>
    <w:p>
      <w:pPr>
        <w:ind w:left="1400" w:right="60" w:hanging="368"/>
        <w:spacing w:after="0" w:line="275" w:lineRule="auto"/>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DTC Participant</w:t>
      </w:r>
      <w:r>
        <w:rPr>
          <w:rFonts w:ascii="Arial" w:cs="Arial" w:eastAsia="Arial" w:hAnsi="Arial"/>
          <w:sz w:val="16"/>
          <w:szCs w:val="16"/>
          <w:color w:val="auto"/>
        </w:rPr>
        <w:t>” means a broker, dealer, bank, trust company, clearing corporation or other organisation that has established an account with DTC for the clearing and settlement of securities transactions in accordance with the rules and regulations of DTC;</w:t>
      </w:r>
    </w:p>
    <w:p>
      <w:pPr>
        <w:spacing w:after="0" w:line="137"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Time</w:t>
      </w:r>
      <w:r>
        <w:rPr>
          <w:rFonts w:ascii="Arial" w:cs="Arial" w:eastAsia="Arial" w:hAnsi="Arial"/>
          <w:sz w:val="16"/>
          <w:szCs w:val="16"/>
          <w:color w:val="auto"/>
        </w:rPr>
        <w:t>” has the meaning given to such term in article 28(a);</w:t>
      </w:r>
    </w:p>
    <w:p>
      <w:pPr>
        <w:spacing w:after="0" w:line="194"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Holder</w:t>
      </w:r>
      <w:r>
        <w:rPr>
          <w:rFonts w:ascii="Arial" w:cs="Arial" w:eastAsia="Arial" w:hAnsi="Arial"/>
          <w:sz w:val="16"/>
          <w:szCs w:val="16"/>
          <w:color w:val="auto"/>
        </w:rPr>
        <w:t>” has the meaning given to such term in article 28(a);</w:t>
      </w:r>
    </w:p>
    <w:p>
      <w:pPr>
        <w:spacing w:after="0" w:line="194"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Pre-Listing Election Deadline</w:t>
      </w:r>
      <w:r>
        <w:rPr>
          <w:rFonts w:ascii="Arial" w:cs="Arial" w:eastAsia="Arial" w:hAnsi="Arial"/>
          <w:sz w:val="16"/>
          <w:szCs w:val="16"/>
          <w:color w:val="auto"/>
        </w:rPr>
        <w:t>” has the meaning given to that term in article 28(c);</w:t>
      </w:r>
    </w:p>
    <w:p>
      <w:pPr>
        <w:spacing w:after="0" w:line="194"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Post-Listing Election Period</w:t>
      </w:r>
      <w:r>
        <w:rPr>
          <w:rFonts w:ascii="Arial" w:cs="Arial" w:eastAsia="Arial" w:hAnsi="Arial"/>
          <w:sz w:val="16"/>
          <w:szCs w:val="16"/>
          <w:color w:val="auto"/>
        </w:rPr>
        <w:t>” has the meaning given to that term in article 28(d);</w:t>
      </w:r>
    </w:p>
    <w:p>
      <w:pPr>
        <w:spacing w:after="0" w:line="194" w:lineRule="exact"/>
        <w:rPr>
          <w:rFonts w:ascii="Arial" w:cs="Arial" w:eastAsia="Arial" w:hAnsi="Arial"/>
          <w:sz w:val="16"/>
          <w:szCs w:val="16"/>
          <w:color w:val="auto"/>
        </w:rPr>
      </w:pPr>
    </w:p>
    <w:p>
      <w:pPr>
        <w:ind w:left="1400" w:right="620" w:hanging="368"/>
        <w:spacing w:after="0" w:line="304" w:lineRule="auto"/>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Registrar</w:t>
      </w:r>
      <w:r>
        <w:rPr>
          <w:rFonts w:ascii="Arial" w:cs="Arial" w:eastAsia="Arial" w:hAnsi="Arial"/>
          <w:sz w:val="16"/>
          <w:szCs w:val="16"/>
          <w:color w:val="auto"/>
        </w:rPr>
        <w:t>”, means the person or persons appointed from time to time to maintain the Register in the capacity as a registrar or transfer agent;</w:t>
      </w:r>
    </w:p>
    <w:p>
      <w:pPr>
        <w:spacing w:after="0" w:line="114"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Shareholder</w:t>
      </w:r>
      <w:r>
        <w:rPr>
          <w:rFonts w:ascii="Arial" w:cs="Arial" w:eastAsia="Arial" w:hAnsi="Arial"/>
          <w:sz w:val="16"/>
          <w:szCs w:val="16"/>
          <w:color w:val="auto"/>
        </w:rPr>
        <w:t>” means any Holder of a Restricted Share;</w:t>
      </w:r>
    </w:p>
    <w:p>
      <w:pPr>
        <w:spacing w:after="0" w:line="194" w:lineRule="exact"/>
        <w:rPr>
          <w:rFonts w:ascii="Arial" w:cs="Arial" w:eastAsia="Arial" w:hAnsi="Arial"/>
          <w:sz w:val="16"/>
          <w:szCs w:val="16"/>
          <w:color w:val="auto"/>
        </w:rPr>
      </w:pPr>
    </w:p>
    <w:p>
      <w:pPr>
        <w:ind w:left="1400" w:right="100" w:hanging="368"/>
        <w:spacing w:after="0" w:line="271" w:lineRule="auto"/>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Share(s)</w:t>
      </w:r>
      <w:r>
        <w:rPr>
          <w:rFonts w:ascii="Arial" w:cs="Arial" w:eastAsia="Arial" w:hAnsi="Arial"/>
          <w:sz w:val="16"/>
          <w:szCs w:val="16"/>
          <w:color w:val="auto"/>
        </w:rPr>
        <w:t>” means any share of the Company which, by reason of the application of US federal securities laws, contractual restrictions, the rules and regulations of DTC or any other applicable law, is either incapable of, or ineligible for, admission to DTC for any period of time or any share of the Company which the Directors consider, in their absolute discretion, would be inappropriate or inadvisable for transfer in accordance with article 28(a);</w:t>
      </w:r>
    </w:p>
    <w:p>
      <w:pPr>
        <w:spacing w:after="0" w:line="140"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“Specified Instruction</w:t>
      </w:r>
      <w:r>
        <w:rPr>
          <w:rFonts w:ascii="Arial" w:cs="Arial" w:eastAsia="Arial" w:hAnsi="Arial"/>
          <w:sz w:val="16"/>
          <w:szCs w:val="16"/>
          <w:color w:val="auto"/>
        </w:rPr>
        <w:t>” has the meaning given to that term in article 28(c);</w:t>
      </w:r>
    </w:p>
    <w:p>
      <w:pPr>
        <w:spacing w:after="0" w:line="194"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Listing</w:t>
      </w:r>
      <w:r>
        <w:rPr>
          <w:rFonts w:ascii="Arial" w:cs="Arial" w:eastAsia="Arial" w:hAnsi="Arial"/>
          <w:sz w:val="16"/>
          <w:szCs w:val="16"/>
          <w:color w:val="auto"/>
        </w:rPr>
        <w:t>” has the meaning given to that term in article 28(a);</w:t>
      </w:r>
    </w:p>
    <w:p>
      <w:pPr>
        <w:spacing w:after="0" w:line="194" w:lineRule="exact"/>
        <w:rPr>
          <w:rFonts w:ascii="Arial" w:cs="Arial" w:eastAsia="Arial" w:hAnsi="Arial"/>
          <w:sz w:val="16"/>
          <w:szCs w:val="16"/>
          <w:color w:val="auto"/>
        </w:rPr>
      </w:pPr>
    </w:p>
    <w:p>
      <w:pPr>
        <w:ind w:left="1400" w:right="700" w:hanging="368"/>
        <w:spacing w:after="0" w:line="286" w:lineRule="auto"/>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Listing Record Date</w:t>
      </w:r>
      <w:r>
        <w:rPr>
          <w:rFonts w:ascii="Arial" w:cs="Arial" w:eastAsia="Arial" w:hAnsi="Arial"/>
          <w:sz w:val="16"/>
          <w:szCs w:val="16"/>
          <w:color w:val="auto"/>
        </w:rPr>
        <w:t>”, means a date and time, to be determined by the Directors, by reference to which the treatment of the shares subject to the provisions of this article 28 at the Effective Time will be determined;</w:t>
      </w:r>
    </w:p>
    <w:p>
      <w:pPr>
        <w:spacing w:after="0" w:line="128" w:lineRule="exact"/>
        <w:rPr>
          <w:rFonts w:ascii="Arial" w:cs="Arial" w:eastAsia="Arial" w:hAnsi="Arial"/>
          <w:sz w:val="16"/>
          <w:szCs w:val="16"/>
          <w:color w:val="auto"/>
        </w:rPr>
      </w:pPr>
    </w:p>
    <w:p>
      <w:pPr>
        <w:ind w:left="1400" w:hanging="368"/>
        <w:spacing w:after="0"/>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Migrating Shares</w:t>
      </w:r>
      <w:r>
        <w:rPr>
          <w:rFonts w:ascii="Arial" w:cs="Arial" w:eastAsia="Arial" w:hAnsi="Arial"/>
          <w:sz w:val="16"/>
          <w:szCs w:val="16"/>
          <w:color w:val="auto"/>
        </w:rPr>
        <w:t>”, means all of the shares of the Company in issue at the U.S. Listing Record Date;</w:t>
      </w:r>
    </w:p>
    <w:p>
      <w:pPr>
        <w:spacing w:after="0" w:line="194" w:lineRule="exact"/>
        <w:rPr>
          <w:rFonts w:ascii="Arial" w:cs="Arial" w:eastAsia="Arial" w:hAnsi="Arial"/>
          <w:sz w:val="16"/>
          <w:szCs w:val="16"/>
          <w:color w:val="auto"/>
        </w:rPr>
      </w:pPr>
    </w:p>
    <w:p>
      <w:pPr>
        <w:ind w:left="1400" w:right="40" w:hanging="368"/>
        <w:spacing w:after="0" w:line="284" w:lineRule="auto"/>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References to Cede &amp; Co. shall include any replacement or successor entity of Cede &amp; Co. or other entity acting as nominee for DTC in respect of the substantive functions carried out by Cede &amp; Co. as at the date of the first adoption of this article 28.</w:t>
      </w:r>
    </w:p>
    <w:p>
      <w:pPr>
        <w:spacing w:after="0" w:line="130"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Unless otherwise instructed, the proxies will vote “FOR” this resolution.</w:t>
      </w:r>
    </w:p>
    <w:p>
      <w:pPr>
        <w:spacing w:after="0" w:line="221" w:lineRule="exact"/>
        <w:rPr>
          <w:sz w:val="20"/>
          <w:szCs w:val="20"/>
          <w:color w:val="auto"/>
        </w:rPr>
      </w:pPr>
    </w:p>
    <w:p>
      <w:pPr>
        <w:ind w:left="800" w:right="100" w:hanging="107"/>
        <w:spacing w:after="0" w:line="214" w:lineRule="auto"/>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THE BOARD OF DIRECTORS UNANIMOUSLY RECOMMENDS THAT YOU VOTE </w:t>
      </w:r>
      <w:r>
        <w:rPr>
          <w:rFonts w:ascii="Arial" w:cs="Arial" w:eastAsia="Arial" w:hAnsi="Arial"/>
          <w:sz w:val="16"/>
          <w:szCs w:val="16"/>
          <w:b w:val="1"/>
          <w:bCs w:val="1"/>
          <w:color w:val="3FD4AD"/>
        </w:rPr>
        <w:t>“FOR”</w:t>
      </w:r>
      <w:r>
        <w:rPr>
          <w:rFonts w:ascii="Arial" w:cs="Arial" w:eastAsia="Arial" w:hAnsi="Arial"/>
          <w:sz w:val="16"/>
          <w:szCs w:val="16"/>
          <w:b w:val="1"/>
          <w:bCs w:val="1"/>
          <w:color w:val="auto"/>
        </w:rPr>
        <w:t xml:space="preserve"> THE RESOLUTION SET FORTH IN </w:t>
      </w: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PROPOSAL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-302895</wp:posOffset>
            </wp:positionV>
            <wp:extent cx="5966460" cy="3257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0"/>
        <w:spacing w:after="0"/>
        <w:tabs>
          <w:tab w:leader="none" w:pos="5260" w:val="left"/>
          <w:tab w:leader="none" w:pos="10040" w:val="left"/>
        </w:tabs>
        <w:rPr>
          <w:sz w:val="20"/>
          <w:szCs w:val="20"/>
          <w:color w:val="auto"/>
        </w:rPr>
      </w:pPr>
      <w:r>
        <w:rPr>
          <w:rFonts w:ascii="Arial" w:cs="Arial" w:eastAsia="Arial" w:hAnsi="Arial"/>
          <w:sz w:val="13"/>
          <w:szCs w:val="13"/>
          <w:color w:val="323232"/>
        </w:rPr>
        <w:t>​68 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-43180</wp:posOffset>
            </wp:positionV>
            <wp:extent cx="445770" cy="68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9220"/>
        <w:spacing w:after="0"/>
        <w:rPr>
          <w:sz w:val="20"/>
          <w:szCs w:val="20"/>
          <w:color w:val="auto"/>
        </w:rPr>
      </w:pPr>
      <w:r>
        <w:rPr>
          <w:rFonts w:ascii="Arial" w:cs="Arial" w:eastAsia="Arial" w:hAnsi="Arial"/>
          <w:sz w:val="13"/>
          <w:szCs w:val="13"/>
          <w:color w:val="323232"/>
        </w:rPr>
        <w:t>Other Matters</w:t>
      </w:r>
    </w:p>
    <w:p>
      <w:pPr>
        <w:spacing w:after="0" w:line="378" w:lineRule="exact"/>
        <w:rPr>
          <w:sz w:val="20"/>
          <w:szCs w:val="20"/>
          <w:color w:val="auto"/>
        </w:rPr>
      </w:pPr>
    </w:p>
    <w:p>
      <w:pPr>
        <w:ind w:left="680"/>
        <w:spacing w:after="0"/>
        <w:rPr>
          <w:sz w:val="20"/>
          <w:szCs w:val="20"/>
          <w:color w:val="auto"/>
        </w:rPr>
      </w:pPr>
      <w:r>
        <w:rPr>
          <w:rFonts w:ascii="Arial" w:cs="Arial" w:eastAsia="Arial" w:hAnsi="Arial"/>
          <w:sz w:val="41"/>
          <w:szCs w:val="41"/>
          <w:b w:val="1"/>
          <w:bCs w:val="1"/>
          <w:color w:val="4CA87C"/>
        </w:rPr>
        <w:t>Other Matters</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Change in Auditor</w:t>
      </w:r>
    </w:p>
    <w:p>
      <w:pPr>
        <w:spacing w:after="0" w:line="126" w:lineRule="exact"/>
        <w:rPr>
          <w:sz w:val="20"/>
          <w:szCs w:val="20"/>
          <w:color w:val="auto"/>
        </w:rPr>
      </w:pPr>
    </w:p>
    <w:p>
      <w:pPr>
        <w:ind w:left="680" w:right="100"/>
        <w:spacing w:after="0" w:line="265" w:lineRule="auto"/>
        <w:rPr>
          <w:sz w:val="20"/>
          <w:szCs w:val="20"/>
          <w:color w:val="auto"/>
        </w:rPr>
      </w:pPr>
      <w:r>
        <w:rPr>
          <w:rFonts w:ascii="Arial" w:cs="Arial" w:eastAsia="Arial" w:hAnsi="Arial"/>
          <w:sz w:val="16"/>
          <w:szCs w:val="16"/>
          <w:color w:val="auto"/>
        </w:rPr>
        <w:t>The Audit Committee of the Board of the Company conducted a competitive process to determine the Company’s independent registered public accounting firm for the fiscal year ending December 27, 2024. As a result of this process, on April 3, 2024, upon the recommendation of the Audit Committee, the Board approved the dismissal of Deloitte &amp; Touche LLP (“Deloitte”) as the Company’s independent registered public accounting firm, effective immediately. Also, on April 3, 2024, the Audit Committee approved the engagement of PricewaterhouseCoopers LLP as the Company’s independent registered public accounting firm for the fiscal year ending December 27, 2024, effective immediately.</w:t>
      </w:r>
    </w:p>
    <w:p>
      <w:pPr>
        <w:spacing w:after="0" w:line="145" w:lineRule="exact"/>
        <w:rPr>
          <w:sz w:val="20"/>
          <w:szCs w:val="20"/>
          <w:color w:val="auto"/>
        </w:rPr>
      </w:pPr>
    </w:p>
    <w:p>
      <w:pPr>
        <w:ind w:left="680" w:right="80"/>
        <w:spacing w:after="0" w:line="285" w:lineRule="auto"/>
        <w:rPr>
          <w:sz w:val="20"/>
          <w:szCs w:val="20"/>
          <w:color w:val="auto"/>
        </w:rPr>
      </w:pPr>
      <w:r>
        <w:rPr>
          <w:rFonts w:ascii="Arial" w:cs="Arial" w:eastAsia="Arial" w:hAnsi="Arial"/>
          <w:sz w:val="15"/>
          <w:szCs w:val="15"/>
          <w:color w:val="auto"/>
        </w:rPr>
        <w:t>The audit reports of Deloitte on the Company’s financial statements as of December 29, 2023 (Successor Company balance sheet) and December 30, 2022 (Predecessor Company balance sheet), and for the period from November 15, 2023 through December 29, 2023 (Successor Company operations), for the period from December 31, 2022 through November 14, 2023 (Predecessor Company operations), for the period from June 17, 2022 through December 30, 2022 (Predecessor Company operations), and for the period from January 1, 2022 through June 16, 2022 (Predecessor Company operations) (the “Audit Periods”), did not contain any adverse opinion or disclaimer of opinion, nor were such reports qualified or modified as to uncertainty, audit scope or accounting principles.</w:t>
      </w:r>
    </w:p>
    <w:p>
      <w:pPr>
        <w:spacing w:after="0" w:line="135" w:lineRule="exact"/>
        <w:rPr>
          <w:sz w:val="20"/>
          <w:szCs w:val="20"/>
          <w:color w:val="auto"/>
        </w:rPr>
      </w:pPr>
    </w:p>
    <w:p>
      <w:pPr>
        <w:ind w:left="680" w:right="40"/>
        <w:spacing w:after="0" w:line="269" w:lineRule="auto"/>
        <w:rPr>
          <w:sz w:val="20"/>
          <w:szCs w:val="20"/>
          <w:color w:val="auto"/>
        </w:rPr>
      </w:pPr>
      <w:r>
        <w:rPr>
          <w:rFonts w:ascii="Arial" w:cs="Arial" w:eastAsia="Arial" w:hAnsi="Arial"/>
          <w:sz w:val="16"/>
          <w:szCs w:val="16"/>
          <w:color w:val="auto"/>
        </w:rPr>
        <w:t>During the Audit Periods and during the period from December 30, 2023 through April 3, 2024, the Company had: (i) no disagreements with Deloitte of the type contemplated by Item 304(a)(1)(iv) of Regulation S-K on any matter of accounting principles or practices, financial statement disclosure or auditing scope or procedure, which, if not resolved to Deloitte’s satisfaction, would have caused it to make reference to the subject matter of any such disagreement in connection with its reports; and (ii) no reportable events within the meaning of Item 304(a)(1)(v) of Regulation S-K.</w:t>
      </w:r>
    </w:p>
    <w:p>
      <w:pPr>
        <w:spacing w:after="0" w:line="143" w:lineRule="exact"/>
        <w:rPr>
          <w:sz w:val="20"/>
          <w:szCs w:val="20"/>
          <w:color w:val="auto"/>
        </w:rPr>
      </w:pPr>
    </w:p>
    <w:p>
      <w:pPr>
        <w:ind w:left="680" w:right="60"/>
        <w:spacing w:after="0" w:line="271" w:lineRule="auto"/>
        <w:rPr>
          <w:sz w:val="20"/>
          <w:szCs w:val="20"/>
          <w:color w:val="auto"/>
        </w:rPr>
      </w:pPr>
      <w:r>
        <w:rPr>
          <w:rFonts w:ascii="Arial" w:cs="Arial" w:eastAsia="Arial" w:hAnsi="Arial"/>
          <w:sz w:val="16"/>
          <w:szCs w:val="16"/>
          <w:color w:val="auto"/>
        </w:rPr>
        <w:t>The Company provided Deloitte with a copy of the disclosures it made in its Current Report on Form 8-K prior to its filing on April 8, 2024, and requested that Deloitte furnish the Company with a letter addressed to the SEC stating whether or not Deloitte agreed with such disclosures. A copy of Deloitte’s letter to the SEC in response to the foregoing request is attached as Exhibit 16.1 to the Current Report on Form 8-K.</w:t>
      </w:r>
    </w:p>
    <w:p>
      <w:pPr>
        <w:spacing w:after="0" w:line="141" w:lineRule="exact"/>
        <w:rPr>
          <w:sz w:val="20"/>
          <w:szCs w:val="20"/>
          <w:color w:val="auto"/>
        </w:rPr>
      </w:pPr>
    </w:p>
    <w:p>
      <w:pPr>
        <w:ind w:left="680" w:right="140"/>
        <w:spacing w:after="0" w:line="263" w:lineRule="auto"/>
        <w:rPr>
          <w:sz w:val="20"/>
          <w:szCs w:val="20"/>
          <w:color w:val="auto"/>
        </w:rPr>
      </w:pPr>
      <w:r>
        <w:rPr>
          <w:rFonts w:ascii="Arial" w:cs="Arial" w:eastAsia="Arial" w:hAnsi="Arial"/>
          <w:sz w:val="16"/>
          <w:szCs w:val="16"/>
          <w:color w:val="auto"/>
        </w:rPr>
        <w:t>During the Audit Periods, and during the period from December 30, 2023 through April 3, 2024, neither the Company nor anyone on its behalf consulted PricewaterhouseCoopers LLP regarding either (i) the application of accounting principles to a specified transaction, either completed or proposed, or the type of audit opinion that might be rendered on the Company’s consolidated</w:t>
      </w:r>
    </w:p>
    <w:p>
      <w:pPr>
        <w:spacing w:after="0" w:line="1" w:lineRule="exact"/>
        <w:rPr>
          <w:sz w:val="20"/>
          <w:szCs w:val="20"/>
          <w:color w:val="auto"/>
        </w:rPr>
      </w:pPr>
    </w:p>
    <w:p>
      <w:pPr>
        <w:jc w:val="both"/>
        <w:ind w:left="680" w:right="880"/>
        <w:spacing w:after="0" w:line="267" w:lineRule="auto"/>
        <w:rPr>
          <w:sz w:val="20"/>
          <w:szCs w:val="20"/>
          <w:color w:val="auto"/>
        </w:rPr>
      </w:pPr>
      <w:r>
        <w:rPr>
          <w:rFonts w:ascii="Arial" w:cs="Arial" w:eastAsia="Arial" w:hAnsi="Arial"/>
          <w:sz w:val="16"/>
          <w:szCs w:val="16"/>
          <w:color w:val="auto"/>
        </w:rPr>
        <w:t>financial statements or (ii) any matter that was the subject of a “disagreement” (within​ the meaning of Item 304(a)(1)(iv) of Regulation S-K and the related instructions to that Item) or a “reportable event” ​(within the meaning of Item 304(a)(1)(v) of Regulation S-K).</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Presentation of Irish Statutory Accounts</w:t>
      </w:r>
    </w:p>
    <w:p>
      <w:pPr>
        <w:spacing w:after="0" w:line="112" w:lineRule="exact"/>
        <w:rPr>
          <w:sz w:val="20"/>
          <w:szCs w:val="20"/>
          <w:color w:val="auto"/>
        </w:rPr>
      </w:pPr>
    </w:p>
    <w:p>
      <w:pPr>
        <w:ind w:left="680" w:right="80"/>
        <w:spacing w:after="0" w:line="269" w:lineRule="auto"/>
        <w:rPr>
          <w:sz w:val="20"/>
          <w:szCs w:val="20"/>
          <w:color w:val="auto"/>
        </w:rPr>
      </w:pPr>
      <w:r>
        <w:rPr>
          <w:rFonts w:ascii="Arial" w:cs="Arial" w:eastAsia="Arial" w:hAnsi="Arial"/>
          <w:sz w:val="16"/>
          <w:szCs w:val="16"/>
          <w:color w:val="auto"/>
        </w:rPr>
        <w:t xml:space="preserve">Our Irish Statutory Accounts for the fiscal year ended December 31, 2025, including the reports of the directors and auditors thereon, will be presented at the Annual General Meeting, after approval by our Board. There is no requirement under Irish law that such statements be approved by shareholders, and no such approval will be sought at the Annual General Meeting. Our Irish Statutory Accounts will be available at </w:t>
      </w:r>
      <w:r>
        <w:rPr>
          <w:rFonts w:ascii="Arial" w:cs="Arial" w:eastAsia="Arial" w:hAnsi="Arial"/>
          <w:sz w:val="16"/>
          <w:szCs w:val="16"/>
          <w:i w:val="1"/>
          <w:iCs w:val="1"/>
          <w:color w:val="auto"/>
        </w:rPr>
        <w:t>www</w:t>
      </w:r>
      <w:r>
        <w:rPr>
          <w:rFonts w:ascii="Arial" w:cs="Arial" w:eastAsia="Arial" w:hAnsi="Arial"/>
          <w:sz w:val="16"/>
          <w:szCs w:val="16"/>
          <w:color w:val="auto"/>
        </w:rPr>
        <w:t>.</w:t>
      </w:r>
      <w:r>
        <w:rPr>
          <w:rFonts w:ascii="Arial" w:cs="Arial" w:eastAsia="Arial" w:hAnsi="Arial"/>
          <w:sz w:val="16"/>
          <w:szCs w:val="16"/>
          <w:i w:val="1"/>
          <w:iCs w:val="1"/>
          <w:color w:val="auto"/>
        </w:rPr>
        <w:t>proxyvote.com</w:t>
      </w:r>
      <w:r>
        <w:rPr>
          <w:rFonts w:ascii="Arial" w:cs="Arial" w:eastAsia="Arial" w:hAnsi="Arial"/>
          <w:sz w:val="16"/>
          <w:szCs w:val="16"/>
          <w:color w:val="auto"/>
        </w:rPr>
        <w:t xml:space="preserve"> and in the Investor Relations section of our website at </w:t>
      </w:r>
      <w:r>
        <w:rPr>
          <w:rFonts w:ascii="Arial" w:cs="Arial" w:eastAsia="Arial" w:hAnsi="Arial"/>
          <w:sz w:val="16"/>
          <w:szCs w:val="16"/>
          <w:i w:val="1"/>
          <w:iCs w:val="1"/>
          <w:color w:val="auto"/>
        </w:rPr>
        <w:t>investor.keenova.com</w:t>
      </w:r>
      <w:r>
        <w:rPr>
          <w:rFonts w:ascii="Arial" w:cs="Arial" w:eastAsia="Arial" w:hAnsi="Arial"/>
          <w:sz w:val="16"/>
          <w:szCs w:val="16"/>
          <w:color w:val="auto"/>
        </w:rPr>
        <w:t xml:space="preserve"> at least 21 days prior to the Annual General Meeting.</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Registered and Principal Executive Offices</w:t>
      </w:r>
    </w:p>
    <w:p>
      <w:pPr>
        <w:spacing w:after="0" w:line="112" w:lineRule="exact"/>
        <w:rPr>
          <w:sz w:val="20"/>
          <w:szCs w:val="20"/>
          <w:color w:val="auto"/>
        </w:rPr>
      </w:pPr>
    </w:p>
    <w:p>
      <w:pPr>
        <w:ind w:left="680" w:right="80"/>
        <w:spacing w:after="0" w:line="304" w:lineRule="auto"/>
        <w:rPr>
          <w:sz w:val="20"/>
          <w:szCs w:val="20"/>
          <w:color w:val="auto"/>
        </w:rPr>
      </w:pPr>
      <w:r>
        <w:rPr>
          <w:rFonts w:ascii="Arial" w:cs="Arial" w:eastAsia="Arial" w:hAnsi="Arial"/>
          <w:sz w:val="16"/>
          <w:szCs w:val="16"/>
          <w:color w:val="auto"/>
        </w:rPr>
        <w:t>Our registered office and principal executive offices are located at College Business &amp; Technology Park, Cruiserath, Blanchardstown, Dublin 15, Ireland. The telephone number there is +353 1 696 0000.</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Shareholder Proposals for the 2027 Annual General Meeting</w:t>
      </w:r>
    </w:p>
    <w:p>
      <w:pPr>
        <w:spacing w:after="0" w:line="112" w:lineRule="exact"/>
        <w:rPr>
          <w:sz w:val="20"/>
          <w:szCs w:val="20"/>
          <w:color w:val="auto"/>
        </w:rPr>
      </w:pPr>
    </w:p>
    <w:p>
      <w:pPr>
        <w:ind w:left="680" w:right="140"/>
        <w:spacing w:after="0" w:line="264" w:lineRule="auto"/>
        <w:rPr>
          <w:sz w:val="20"/>
          <w:szCs w:val="20"/>
          <w:color w:val="auto"/>
        </w:rPr>
      </w:pPr>
      <w:r>
        <w:rPr>
          <w:rFonts w:ascii="Arial" w:cs="Arial" w:eastAsia="Arial" w:hAnsi="Arial"/>
          <w:sz w:val="16"/>
          <w:szCs w:val="16"/>
          <w:color w:val="auto"/>
        </w:rPr>
        <w:t>In accordance with the rules established by the SEC, any shareholder proposal submitted pursuant to Rule 14a-8 under the Exchange Act intended for inclusion in the Proxy Statement for the 2027 Annual General Meeting must be received by us no later than December 28, 2026. However, if the date of the 2027 Annual General Meeting is changed by more than 30 days from the date of the 2026 Annual General Meeting, then the deadline will be a reasonable time before we begin to print and send our proxy materials. Such proposals should be sent to our Corporate Secretary at Keenova Therapeutics plc, College Business &amp; Technology Park, Cruiserath, Blanchardstown, Dublin 15, Ireland. To be included in the Proxy Statement pursuant to Rule 14a-8, the proposal must be a proper subject for shareholder action under Irish law and otherwise comply with the requirements of Rule 14a-8, including as to eligibility, form and substance.</w:t>
      </w:r>
    </w:p>
    <w:p>
      <w:pPr>
        <w:spacing w:after="0" w:line="170" w:lineRule="exact"/>
        <w:rPr>
          <w:sz w:val="20"/>
          <w:szCs w:val="20"/>
          <w:color w:val="auto"/>
        </w:rPr>
      </w:pPr>
    </w:p>
    <w:p>
      <w:pPr>
        <w:ind w:left="680"/>
        <w:spacing w:after="0"/>
        <w:tabs>
          <w:tab w:leader="none" w:pos="5220" w:val="left"/>
          <w:tab w:leader="none" w:pos="838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69</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Other Matters</w:t>
      </w:r>
    </w:p>
    <w:p>
      <w:pPr>
        <w:spacing w:after="0" w:line="200" w:lineRule="exact"/>
        <w:rPr>
          <w:sz w:val="20"/>
          <w:szCs w:val="20"/>
          <w:color w:val="auto"/>
        </w:rPr>
      </w:pPr>
    </w:p>
    <w:p>
      <w:pPr>
        <w:spacing w:after="0" w:line="216" w:lineRule="exact"/>
        <w:rPr>
          <w:sz w:val="20"/>
          <w:szCs w:val="20"/>
          <w:color w:val="auto"/>
        </w:rPr>
      </w:pPr>
    </w:p>
    <w:p>
      <w:pPr>
        <w:ind w:left="680" w:right="60"/>
        <w:spacing w:after="0" w:line="261" w:lineRule="auto"/>
        <w:rPr>
          <w:sz w:val="20"/>
          <w:szCs w:val="20"/>
          <w:color w:val="auto"/>
        </w:rPr>
      </w:pPr>
      <w:r>
        <w:rPr>
          <w:rFonts w:ascii="Arial" w:cs="Arial" w:eastAsia="Arial" w:hAnsi="Arial"/>
          <w:sz w:val="16"/>
          <w:szCs w:val="16"/>
          <w:color w:val="auto"/>
        </w:rPr>
        <w:t>A shareholder may otherwise propose business for consideration or nominate persons for election to the Board in compliance with the Memorandum and Articles of Association, without seeking to have the proposal included in our Proxy Statement pursuant to Rule 14a-8 under the Exchange Act. To bring a proposal before the 2027 Annual General Meeting, a shareholder must deliver written notice of the proposed business to our Corporate Secretary at our registered office not earlier than the close of business on February 2, 2027 and not later than the close of business on March 4, 2027; provided, that in the event the date of the 2027 Annual General Meeting is more than 30 days before or more than 60 days after the anniversary of the 2026 Annual General Meeting, notice must be received no earlier than the close of business on the 120th day prior to the date of the 2027 Annual General Meeting and no later than the close of business on the later of the 90th day prior to the date of the 2027 Annual General Meeting or, if the first public announcement of the date of the 2027 Annual General Meeting is less than 100 days prior to the date of the 2027 Annual General Meeting, the 10th day following the day on which public announcement of the date of the 2027 Annual General Meeting is first made, and otherwise comply with the requirements of the Memorandum and Articles of Association.</w:t>
      </w:r>
    </w:p>
    <w:p>
      <w:pPr>
        <w:spacing w:after="0" w:line="148" w:lineRule="exact"/>
        <w:rPr>
          <w:sz w:val="20"/>
          <w:szCs w:val="20"/>
          <w:color w:val="auto"/>
        </w:rPr>
      </w:pPr>
    </w:p>
    <w:p>
      <w:pPr>
        <w:ind w:left="680" w:right="240"/>
        <w:spacing w:after="0" w:line="284" w:lineRule="auto"/>
        <w:rPr>
          <w:sz w:val="20"/>
          <w:szCs w:val="20"/>
          <w:color w:val="auto"/>
        </w:rPr>
      </w:pPr>
      <w:r>
        <w:rPr>
          <w:rFonts w:ascii="Arial" w:cs="Arial" w:eastAsia="Arial" w:hAnsi="Arial"/>
          <w:sz w:val="16"/>
          <w:szCs w:val="16"/>
          <w:color w:val="auto"/>
        </w:rPr>
        <w:t>In addition to satisfying the foregoing requirements under our Articles,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March 4, 2027.</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U.S. Securities and Exchange Commission Reports</w:t>
      </w:r>
    </w:p>
    <w:p>
      <w:pPr>
        <w:spacing w:after="0" w:line="126" w:lineRule="exact"/>
        <w:rPr>
          <w:sz w:val="20"/>
          <w:szCs w:val="20"/>
          <w:color w:val="auto"/>
        </w:rPr>
      </w:pPr>
    </w:p>
    <w:p>
      <w:pPr>
        <w:ind w:left="680" w:right="80"/>
        <w:spacing w:after="0" w:line="275" w:lineRule="auto"/>
        <w:rPr>
          <w:sz w:val="20"/>
          <w:szCs w:val="20"/>
          <w:color w:val="auto"/>
        </w:rPr>
      </w:pPr>
      <w:r>
        <w:rPr>
          <w:rFonts w:ascii="Arial" w:cs="Arial" w:eastAsia="Arial" w:hAnsi="Arial"/>
          <w:sz w:val="16"/>
          <w:szCs w:val="16"/>
          <w:color w:val="auto"/>
        </w:rPr>
        <w:t xml:space="preserve">A copy of our Annual Report on Form 10-K for the fiscal year ended December 31, 2025, as filed with the SEC (without exhibits), is available to shareholders free of charge on our website at </w:t>
      </w:r>
      <w:r>
        <w:rPr>
          <w:rFonts w:ascii="Arial" w:cs="Arial" w:eastAsia="Arial" w:hAnsi="Arial"/>
          <w:sz w:val="16"/>
          <w:szCs w:val="16"/>
          <w:i w:val="1"/>
          <w:iCs w:val="1"/>
          <w:color w:val="auto"/>
        </w:rPr>
        <w:t>investor.keenova.com</w:t>
      </w:r>
      <w:r>
        <w:rPr>
          <w:rFonts w:ascii="Arial" w:cs="Arial" w:eastAsia="Arial" w:hAnsi="Arial"/>
          <w:sz w:val="16"/>
          <w:szCs w:val="16"/>
          <w:color w:val="auto"/>
        </w:rPr>
        <w:t xml:space="preserve"> or by writing to our Corporate Secretary at Keenova Therapeutics plc, College Business &amp; Technology Park, Cruiserath, Blanchardstown, Dublin 15, Ireland.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Delivery of Documents to Shareholders Sharing an Address</w:t>
      </w:r>
    </w:p>
    <w:p>
      <w:pPr>
        <w:spacing w:after="0" w:line="126" w:lineRule="exact"/>
        <w:rPr>
          <w:sz w:val="20"/>
          <w:szCs w:val="20"/>
          <w:color w:val="auto"/>
        </w:rPr>
      </w:pPr>
    </w:p>
    <w:p>
      <w:pPr>
        <w:ind w:left="680" w:right="140"/>
        <w:spacing w:after="0" w:line="264" w:lineRule="auto"/>
        <w:rPr>
          <w:sz w:val="20"/>
          <w:szCs w:val="20"/>
          <w:color w:val="auto"/>
        </w:rPr>
      </w:pPr>
      <w:r>
        <w:rPr>
          <w:rFonts w:ascii="Arial" w:cs="Arial" w:eastAsia="Arial" w:hAnsi="Arial"/>
          <w:sz w:val="16"/>
          <w:szCs w:val="16"/>
          <w:color w:val="auto"/>
        </w:rPr>
        <w:t>Our Annual Report, including our audited financial statements for the year ended December 31, 2025, is being mailed to you along with this Proxy Statement. If you are one of multiple record holders who share the same address, and believe you have not received such materials, we will deliver promptly a separate copy of such documents to any shareholder who contacts us at +353 1 696 0000 or sends a written request to Keenova Therapeutics plc, College Business &amp; Technology Park, Cruiserath, Blanchardstown, Dublin 15, Ireland, Attention: Corporate Secretary. If you are receiving multiple copies of our annual reports or proxy statements and you wish to request delivery of a single copy, you may send a written request to Keenova Therapeutics plc, College Business &amp; Technology Park, Cruiserath, Blanchardstown, Dublin 15, Ireland, Attention: Corporate Secretary.</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General</w:t>
      </w:r>
    </w:p>
    <w:p>
      <w:pPr>
        <w:spacing w:after="0" w:line="126" w:lineRule="exact"/>
        <w:rPr>
          <w:sz w:val="20"/>
          <w:szCs w:val="20"/>
          <w:color w:val="auto"/>
        </w:rPr>
      </w:pPr>
    </w:p>
    <w:p>
      <w:pPr>
        <w:ind w:left="680" w:right="320"/>
        <w:spacing w:after="0" w:line="265" w:lineRule="auto"/>
        <w:rPr>
          <w:sz w:val="20"/>
          <w:szCs w:val="20"/>
          <w:color w:val="auto"/>
        </w:rPr>
      </w:pPr>
      <w:r>
        <w:rPr>
          <w:rFonts w:ascii="Arial" w:cs="Arial" w:eastAsia="Arial" w:hAnsi="Arial"/>
          <w:sz w:val="16"/>
          <w:szCs w:val="16"/>
          <w:color w:val="auto"/>
        </w:rPr>
        <w:t>Your proxy is solicited on behalf of the Board. Unless otherwise directed, proxies held by the CEO and the Corporate Secretary or their appointed substitutes will be voted at the 2026 Annual General Meeting (or an adjournment or postponement thereof), FOR Proposals 1 – 6. If any matter other than those described in this Proxy Statement properly comes before the 2026 Annual General Meeting, or with respect to any adjournment or postponement thereof, the CEO or the Corporate Secretary or their appointed substitutes will vote the ordinary shares represented by such proxies in accordance with his or her discretion.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©2026 KEENOVA THERAPEUTICS OR ONE OF ITS AFFILIATES.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​70 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1" w:lineRule="exact"/>
        <w:rPr>
          <w:sz w:val="20"/>
          <w:szCs w:val="20"/>
          <w:color w:val="auto"/>
        </w:rPr>
      </w:pPr>
    </w:p>
    <w:p>
      <w:pPr>
        <w:ind w:left="9520"/>
        <w:spacing w:after="0"/>
        <w:rPr>
          <w:sz w:val="20"/>
          <w:szCs w:val="20"/>
          <w:color w:val="auto"/>
        </w:rPr>
      </w:pPr>
      <w:r>
        <w:rPr>
          <w:rFonts w:ascii="Arial" w:cs="Arial" w:eastAsia="Arial" w:hAnsi="Arial"/>
          <w:sz w:val="13"/>
          <w:szCs w:val="13"/>
          <w:color w:val="323232"/>
        </w:rPr>
        <w:t>Annex A</w:t>
      </w:r>
    </w:p>
    <w:p>
      <w:pPr>
        <w:spacing w:after="0" w:line="378" w:lineRule="exact"/>
        <w:rPr>
          <w:sz w:val="20"/>
          <w:szCs w:val="20"/>
          <w:color w:val="auto"/>
        </w:rPr>
      </w:pPr>
    </w:p>
    <w:p>
      <w:pPr>
        <w:ind w:left="680" w:right="860"/>
        <w:spacing w:after="0" w:line="260" w:lineRule="auto"/>
        <w:rPr>
          <w:sz w:val="20"/>
          <w:szCs w:val="20"/>
          <w:color w:val="auto"/>
        </w:rPr>
      </w:pPr>
      <w:r>
        <w:rPr>
          <w:rFonts w:ascii="Arial" w:cs="Arial" w:eastAsia="Arial" w:hAnsi="Arial"/>
          <w:sz w:val="41"/>
          <w:szCs w:val="41"/>
          <w:b w:val="1"/>
          <w:bCs w:val="1"/>
          <w:color w:val="4CA87C"/>
        </w:rPr>
        <w:t>Annex A: Definitions and Reconciliations of GAAP and Non-GAAP Financial Measures</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22"/>
          <w:szCs w:val="22"/>
          <w:b w:val="1"/>
          <w:bCs w:val="1"/>
          <w:i w:val="1"/>
          <w:iCs w:val="1"/>
          <w:color w:val="auto"/>
        </w:rPr>
        <w:t>Adjusted EBITDA</w:t>
      </w:r>
    </w:p>
    <w:p>
      <w:pPr>
        <w:spacing w:after="0" w:line="124" w:lineRule="exact"/>
        <w:rPr>
          <w:sz w:val="20"/>
          <w:szCs w:val="20"/>
          <w:color w:val="auto"/>
        </w:rPr>
      </w:pPr>
    </w:p>
    <w:p>
      <w:pPr>
        <w:ind w:left="680" w:right="60"/>
        <w:spacing w:after="0" w:line="265" w:lineRule="auto"/>
        <w:rPr>
          <w:sz w:val="20"/>
          <w:szCs w:val="20"/>
          <w:color w:val="auto"/>
        </w:rPr>
      </w:pPr>
      <w:r>
        <w:rPr>
          <w:rFonts w:ascii="Arial" w:cs="Arial" w:eastAsia="Arial" w:hAnsi="Arial"/>
          <w:sz w:val="16"/>
          <w:szCs w:val="16"/>
          <w:color w:val="auto"/>
        </w:rPr>
        <w:t>Adjusted EBITDA represents net income or loss prepared in accordance GAAP and adjusted for certain items that management believes are not reflective of the operational performance of the business. Adjustments to GAAP amounts include, as applicable to each measure, interest expense, net; income tax expense; depreciation and amortization; combination, integration, and other related expenses; restructuring charges, net; liabilities management and separation costs; gains/losses on debt extinguishment; gains/​losses on divestitures; fresh-start inventory-related expenses; business combination inventory-related expense; share-based compensation; and other items identified by the Company.</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22"/>
          <w:szCs w:val="22"/>
          <w:b w:val="1"/>
          <w:bCs w:val="1"/>
          <w:i w:val="1"/>
          <w:iCs w:val="1"/>
          <w:color w:val="auto"/>
        </w:rPr>
        <w:t>Adjusted EBITDA from Continuing Operations</w:t>
      </w:r>
    </w:p>
    <w:p>
      <w:pPr>
        <w:spacing w:after="0" w:line="124" w:lineRule="exact"/>
        <w:rPr>
          <w:sz w:val="20"/>
          <w:szCs w:val="20"/>
          <w:color w:val="auto"/>
        </w:rPr>
      </w:pPr>
    </w:p>
    <w:p>
      <w:pPr>
        <w:ind w:left="680" w:right="60"/>
        <w:spacing w:after="0" w:line="286" w:lineRule="auto"/>
        <w:rPr>
          <w:sz w:val="20"/>
          <w:szCs w:val="20"/>
          <w:color w:val="auto"/>
        </w:rPr>
      </w:pPr>
      <w:r>
        <w:rPr>
          <w:rFonts w:ascii="Arial" w:cs="Arial" w:eastAsia="Arial" w:hAnsi="Arial"/>
          <w:sz w:val="16"/>
          <w:szCs w:val="16"/>
          <w:color w:val="auto"/>
        </w:rPr>
        <w:t>Adjusted EBITDA from continuing operations represents Adjusted EBITDA (as defined above) and as adjusted for income (loss) from discontinued operations.</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22"/>
          <w:szCs w:val="22"/>
          <w:b w:val="1"/>
          <w:bCs w:val="1"/>
          <w:i w:val="1"/>
          <w:iCs w:val="1"/>
          <w:color w:val="auto"/>
        </w:rPr>
        <w:t>Pro Forma Combined Net Sales and Pro Forma Combined Adjusted EBITDA</w:t>
      </w:r>
    </w:p>
    <w:p>
      <w:pPr>
        <w:spacing w:after="0" w:line="124" w:lineRule="exact"/>
        <w:rPr>
          <w:sz w:val="20"/>
          <w:szCs w:val="20"/>
          <w:color w:val="auto"/>
        </w:rPr>
      </w:pPr>
    </w:p>
    <w:p>
      <w:pPr>
        <w:ind w:left="680" w:right="180"/>
        <w:spacing w:after="0" w:line="263" w:lineRule="auto"/>
        <w:rPr>
          <w:sz w:val="20"/>
          <w:szCs w:val="20"/>
          <w:color w:val="auto"/>
        </w:rPr>
      </w:pPr>
      <w:r>
        <w:rPr>
          <w:rFonts w:ascii="Arial" w:cs="Arial" w:eastAsia="Arial" w:hAnsi="Arial"/>
          <w:sz w:val="16"/>
          <w:szCs w:val="16"/>
          <w:color w:val="auto"/>
        </w:rPr>
        <w:t>Keenova pro forma combined net sales and pro forma combined Adjusted EBITDA reflect Keenova’s continuing operations as if the merger with Endo and the separation of Par Health had each occurred at the beginning of the respective periods presented.</w:t>
      </w:r>
    </w:p>
    <w:p>
      <w:pPr>
        <w:ind w:left="680"/>
        <w:spacing w:after="0"/>
        <w:rPr>
          <w:sz w:val="20"/>
          <w:szCs w:val="20"/>
          <w:color w:val="auto"/>
        </w:rPr>
      </w:pPr>
      <w:r>
        <w:rPr>
          <w:rFonts w:ascii="Arial" w:cs="Arial" w:eastAsia="Arial" w:hAnsi="Arial"/>
          <w:sz w:val="16"/>
          <w:szCs w:val="16"/>
          <w:color w:val="auto"/>
        </w:rPr>
        <w:t>Pro forma combined results for 2025 exclude Endo’s International Pharmaceuticals business, which was sold in 2025.</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pro forma combined net sales for the periods presented.</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3520" w:type="dxa"/>
            <w:vAlign w:val="bottom"/>
            <w:shd w:val="clear" w:color="auto" w:fill="B2EEDE"/>
          </w:tcPr>
          <w:p>
            <w:pPr>
              <w:spacing w:after="0"/>
              <w:rPr>
                <w:sz w:val="16"/>
                <w:szCs w:val="16"/>
                <w:color w:val="auto"/>
              </w:rPr>
            </w:pPr>
          </w:p>
        </w:tc>
        <w:tc>
          <w:tcPr>
            <w:tcW w:w="2080" w:type="dxa"/>
            <w:vAlign w:val="bottom"/>
            <w:shd w:val="clear" w:color="auto" w:fill="B2EEDE"/>
          </w:tcPr>
          <w:p>
            <w:pPr>
              <w:spacing w:after="0"/>
              <w:rPr>
                <w:sz w:val="16"/>
                <w:szCs w:val="16"/>
                <w:color w:val="auto"/>
              </w:rPr>
            </w:pPr>
          </w:p>
        </w:tc>
        <w:tc>
          <w:tcPr>
            <w:tcW w:w="780" w:type="dxa"/>
            <w:vAlign w:val="bottom"/>
            <w:shd w:val="clear" w:color="auto" w:fill="B2EEDE"/>
          </w:tcPr>
          <w:p>
            <w:pPr>
              <w:spacing w:after="0"/>
              <w:rPr>
                <w:sz w:val="16"/>
                <w:szCs w:val="16"/>
                <w:color w:val="auto"/>
              </w:rPr>
            </w:pPr>
          </w:p>
        </w:tc>
        <w:tc>
          <w:tcPr>
            <w:tcW w:w="800" w:type="dxa"/>
            <w:vAlign w:val="bottom"/>
            <w:gridSpan w:val="2"/>
            <w:shd w:val="clear" w:color="auto" w:fill="B2EEDE"/>
          </w:tcPr>
          <w:p>
            <w:pPr>
              <w:jc w:val="right"/>
              <w:ind w:right="199"/>
              <w:spacing w:after="0"/>
              <w:rPr>
                <w:sz w:val="20"/>
                <w:szCs w:val="20"/>
                <w:color w:val="auto"/>
              </w:rPr>
            </w:pPr>
            <w:r>
              <w:rPr>
                <w:rFonts w:ascii="Arial" w:cs="Arial" w:eastAsia="Arial" w:hAnsi="Arial"/>
                <w:sz w:val="14"/>
                <w:szCs w:val="14"/>
                <w:b w:val="1"/>
                <w:bCs w:val="1"/>
                <w:color w:val="auto"/>
              </w:rPr>
              <w:t>Endo</w:t>
            </w:r>
          </w:p>
        </w:tc>
        <w:tc>
          <w:tcPr>
            <w:tcW w:w="260" w:type="dxa"/>
            <w:vAlign w:val="bottom"/>
            <w:shd w:val="clear" w:color="auto" w:fill="B2EEDE"/>
          </w:tcPr>
          <w:p>
            <w:pPr>
              <w:spacing w:after="0"/>
              <w:rPr>
                <w:sz w:val="16"/>
                <w:szCs w:val="16"/>
                <w:color w:val="auto"/>
              </w:rPr>
            </w:pPr>
          </w:p>
        </w:tc>
        <w:tc>
          <w:tcPr>
            <w:tcW w:w="840" w:type="dxa"/>
            <w:vAlign w:val="bottom"/>
            <w:shd w:val="clear" w:color="auto" w:fill="B2EEDE"/>
          </w:tcPr>
          <w:p>
            <w:pPr>
              <w:spacing w:after="0"/>
              <w:rPr>
                <w:sz w:val="16"/>
                <w:szCs w:val="16"/>
                <w:color w:val="auto"/>
              </w:rPr>
            </w:pPr>
          </w:p>
        </w:tc>
        <w:tc>
          <w:tcPr>
            <w:tcW w:w="320" w:type="dxa"/>
            <w:vAlign w:val="bottom"/>
            <w:shd w:val="clear" w:color="auto" w:fill="B2EEDE"/>
          </w:tcPr>
          <w:p>
            <w:pPr>
              <w:spacing w:after="0"/>
              <w:rPr>
                <w:sz w:val="16"/>
                <w:szCs w:val="16"/>
                <w:color w:val="auto"/>
              </w:rPr>
            </w:pPr>
          </w:p>
        </w:tc>
        <w:tc>
          <w:tcPr>
            <w:tcW w:w="580" w:type="dxa"/>
            <w:vAlign w:val="bottom"/>
            <w:shd w:val="clear" w:color="auto" w:fill="B2EEDE"/>
          </w:tcPr>
          <w:p>
            <w:pPr>
              <w:spacing w:after="0"/>
              <w:rPr>
                <w:sz w:val="16"/>
                <w:szCs w:val="16"/>
                <w:color w:val="auto"/>
              </w:rPr>
            </w:pPr>
          </w:p>
        </w:tc>
        <w:tc>
          <w:tcPr>
            <w:tcW w:w="220" w:type="dxa"/>
            <w:vAlign w:val="bottom"/>
            <w:shd w:val="clear" w:color="auto" w:fill="B2EEDE"/>
          </w:tcPr>
          <w:p>
            <w:pPr>
              <w:spacing w:after="0"/>
              <w:rPr>
                <w:sz w:val="16"/>
                <w:szCs w:val="16"/>
                <w:color w:val="auto"/>
              </w:rPr>
            </w:pPr>
          </w:p>
        </w:tc>
      </w:tr>
      <w:tr>
        <w:trPr>
          <w:trHeight w:val="225"/>
        </w:trPr>
        <w:tc>
          <w:tcPr>
            <w:tcW w:w="352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(Unaudited, $ in millions)</w:t>
            </w:r>
          </w:p>
        </w:tc>
        <w:tc>
          <w:tcPr>
            <w:tcW w:w="3660" w:type="dxa"/>
            <w:vAlign w:val="bottom"/>
            <w:tcBorders>
              <w:bottom w:val="single" w:sz="8" w:color="auto"/>
            </w:tcBorders>
            <w:gridSpan w:val="4"/>
            <w:shd w:val="clear" w:color="auto" w:fill="B2EEDE"/>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FY25</w:t>
            </w:r>
            <w:r>
              <w:rPr>
                <w:rFonts w:ascii="Arial" w:cs="Arial" w:eastAsia="Arial" w:hAnsi="Arial"/>
                <w:sz w:val="16"/>
                <w:szCs w:val="16"/>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Pre-Merger</w:t>
            </w:r>
            <w:r>
              <w:rPr>
                <w:rFonts w:ascii="Arial" w:cs="Arial" w:eastAsia="Arial" w:hAnsi="Arial"/>
                <w:sz w:val="16"/>
                <w:szCs w:val="16"/>
                <w:b w:val="1"/>
                <w:bCs w:val="1"/>
                <w:color w:val="auto"/>
                <w:vertAlign w:val="superscript"/>
              </w:rPr>
              <w:t>(2)</w:t>
            </w:r>
          </w:p>
        </w:tc>
        <w:tc>
          <w:tcPr>
            <w:tcW w:w="2220" w:type="dxa"/>
            <w:vAlign w:val="bottom"/>
            <w:tcBorders>
              <w:bottom w:val="single" w:sz="8" w:color="auto"/>
            </w:tcBorders>
            <w:gridSpan w:val="5"/>
            <w:shd w:val="clear" w:color="auto" w:fill="B2EEDE"/>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Other</w:t>
            </w:r>
            <w:r>
              <w:rPr>
                <w:rFonts w:ascii="Arial" w:cs="Arial" w:eastAsia="Arial" w:hAnsi="Arial"/>
                <w:sz w:val="16"/>
                <w:szCs w:val="16"/>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Pro Forma FY25 </w:t>
            </w:r>
            <w:r>
              <w:rPr>
                <w:rFonts w:ascii="Arial" w:cs="Arial" w:eastAsia="Arial" w:hAnsi="Arial"/>
                <w:sz w:val="26"/>
                <w:szCs w:val="26"/>
                <w:b w:val="1"/>
                <w:bCs w:val="1"/>
                <w:color w:val="auto"/>
                <w:vertAlign w:val="subscript"/>
              </w:rPr>
              <w:t>​</w:t>
            </w:r>
          </w:p>
        </w:tc>
      </w:tr>
      <w:tr>
        <w:trPr>
          <w:trHeight w:val="250"/>
        </w:trPr>
        <w:tc>
          <w:tcPr>
            <w:tcW w:w="352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Acthar Gel</w:t>
            </w:r>
          </w:p>
        </w:tc>
        <w:tc>
          <w:tcPr>
            <w:tcW w:w="2080" w:type="dxa"/>
            <w:vAlign w:val="bottom"/>
            <w:tcBorders>
              <w:bottom w:val="single" w:sz="8" w:color="auto"/>
            </w:tcBorders>
          </w:tcPr>
          <w:p>
            <w:pPr>
              <w:ind w:left="172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780" w:type="dxa"/>
            <w:vAlign w:val="bottom"/>
            <w:tcBorders>
              <w:bottom w:val="single" w:sz="8" w:color="auto"/>
            </w:tcBorders>
          </w:tcPr>
          <w:p>
            <w:pPr>
              <w:jc w:val="right"/>
              <w:ind w:right="46"/>
              <w:spacing w:after="0" w:line="250" w:lineRule="exact"/>
              <w:rPr>
                <w:sz w:val="20"/>
                <w:szCs w:val="20"/>
                <w:color w:val="auto"/>
              </w:rPr>
            </w:pPr>
            <w:r>
              <w:rPr>
                <w:rFonts w:ascii="Arial" w:cs="Arial" w:eastAsia="Arial" w:hAnsi="Arial"/>
                <w:sz w:val="15"/>
                <w:szCs w:val="15"/>
                <w:color w:val="auto"/>
              </w:rPr>
              <w:t>677.5</w:t>
            </w:r>
            <w:r>
              <w:rPr>
                <w:rFonts w:ascii="Arial" w:cs="Arial" w:eastAsia="Arial" w:hAnsi="Arial"/>
                <w:sz w:val="28"/>
                <w:szCs w:val="28"/>
                <w:color w:val="auto"/>
                <w:vertAlign w:val="subscript"/>
              </w:rPr>
              <w:t>​​ ​</w:t>
            </w:r>
          </w:p>
        </w:tc>
        <w:tc>
          <w:tcPr>
            <w:tcW w:w="34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 ​</w:t>
            </w:r>
          </w:p>
        </w:tc>
        <w:tc>
          <w:tcPr>
            <w:tcW w:w="3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52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Xiaflex</w:t>
            </w:r>
          </w:p>
        </w:tc>
        <w:tc>
          <w:tcPr>
            <w:tcW w:w="2080" w:type="dxa"/>
            <w:vAlign w:val="bottom"/>
            <w:tcBorders>
              <w:bottom w:val="single" w:sz="8" w:color="auto"/>
            </w:tcBorders>
            <w:shd w:val="clear" w:color="auto" w:fill="E5E5E5"/>
          </w:tcPr>
          <w:p>
            <w:pPr>
              <w:ind w:left="17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80" w:type="dxa"/>
            <w:vAlign w:val="bottom"/>
            <w:tcBorders>
              <w:bottom w:val="single" w:sz="8" w:color="auto"/>
            </w:tcBorders>
            <w:shd w:val="clear" w:color="auto" w:fill="E5E5E5"/>
          </w:tcPr>
          <w:p>
            <w:pPr>
              <w:jc w:val="right"/>
              <w:ind w:right="46"/>
              <w:spacing w:after="0" w:line="250" w:lineRule="exact"/>
              <w:rPr>
                <w:sz w:val="20"/>
                <w:szCs w:val="20"/>
                <w:color w:val="auto"/>
              </w:rPr>
            </w:pPr>
            <w:r>
              <w:rPr>
                <w:rFonts w:ascii="Arial" w:cs="Arial" w:eastAsia="Arial" w:hAnsi="Arial"/>
                <w:sz w:val="15"/>
                <w:szCs w:val="15"/>
                <w:color w:val="auto"/>
              </w:rPr>
              <w:t>246.6</w:t>
            </w:r>
            <w:r>
              <w:rPr>
                <w:rFonts w:ascii="Arial" w:cs="Arial" w:eastAsia="Arial" w:hAnsi="Arial"/>
                <w:sz w:val="28"/>
                <w:szCs w:val="28"/>
                <w:color w:val="auto"/>
                <w:vertAlign w:val="subscript"/>
              </w:rPr>
              <w:t>​​ ​</w:t>
            </w:r>
          </w:p>
        </w:tc>
        <w:tc>
          <w:tcPr>
            <w:tcW w:w="800" w:type="dxa"/>
            <w:vAlign w:val="bottom"/>
            <w:tcBorders>
              <w:bottom w:val="single" w:sz="8" w:color="auto"/>
            </w:tcBorders>
            <w:gridSpan w:val="2"/>
            <w:shd w:val="clear" w:color="auto" w:fill="E5E5E5"/>
          </w:tcPr>
          <w:p>
            <w:pPr>
              <w:jc w:val="right"/>
              <w:ind w:right="9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​299.7</w:t>
            </w:r>
          </w:p>
        </w:tc>
        <w:tc>
          <w:tcPr>
            <w:tcW w:w="2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ind w:left="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 ​</w:t>
            </w:r>
          </w:p>
        </w:tc>
        <w:tc>
          <w:tcPr>
            <w:tcW w:w="3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8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6"/>
                <w:szCs w:val="16"/>
                <w:color w:val="auto"/>
              </w:rPr>
              <w:t>546.3</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52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INOmax</w:t>
            </w:r>
          </w:p>
        </w:tc>
        <w:tc>
          <w:tcPr>
            <w:tcW w:w="2080" w:type="dxa"/>
            <w:vAlign w:val="bottom"/>
            <w:tcBorders>
              <w:bottom w:val="single" w:sz="8" w:color="auto"/>
            </w:tcBorders>
          </w:tcPr>
          <w:p>
            <w:pPr>
              <w:ind w:left="17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80" w:type="dxa"/>
            <w:vAlign w:val="bottom"/>
            <w:tcBorders>
              <w:bottom w:val="single" w:sz="8" w:color="auto"/>
            </w:tcBorders>
          </w:tcPr>
          <w:p>
            <w:pPr>
              <w:jc w:val="right"/>
              <w:ind w:right="46"/>
              <w:spacing w:after="0" w:line="250" w:lineRule="exact"/>
              <w:rPr>
                <w:sz w:val="20"/>
                <w:szCs w:val="20"/>
                <w:color w:val="auto"/>
              </w:rPr>
            </w:pPr>
            <w:r>
              <w:rPr>
                <w:rFonts w:ascii="Arial" w:cs="Arial" w:eastAsia="Arial" w:hAnsi="Arial"/>
                <w:sz w:val="15"/>
                <w:szCs w:val="15"/>
                <w:color w:val="auto"/>
              </w:rPr>
              <w:t>244.8</w:t>
            </w:r>
            <w:r>
              <w:rPr>
                <w:rFonts w:ascii="Arial" w:cs="Arial" w:eastAsia="Arial" w:hAnsi="Arial"/>
                <w:sz w:val="28"/>
                <w:szCs w:val="28"/>
                <w:color w:val="auto"/>
                <w:vertAlign w:val="subscript"/>
              </w:rPr>
              <w:t>​​ ​</w:t>
            </w:r>
          </w:p>
        </w:tc>
        <w:tc>
          <w:tcPr>
            <w:tcW w:w="34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 ​</w:t>
            </w:r>
          </w:p>
        </w:tc>
        <w:tc>
          <w:tcPr>
            <w:tcW w:w="3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52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Amitiza</w:t>
            </w:r>
          </w:p>
        </w:tc>
        <w:tc>
          <w:tcPr>
            <w:tcW w:w="2080" w:type="dxa"/>
            <w:vAlign w:val="bottom"/>
            <w:tcBorders>
              <w:bottom w:val="single" w:sz="8" w:color="auto"/>
            </w:tcBorders>
            <w:shd w:val="clear" w:color="auto" w:fill="E5E5E5"/>
          </w:tcPr>
          <w:p>
            <w:pPr>
              <w:ind w:left="17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80" w:type="dxa"/>
            <w:vAlign w:val="bottom"/>
            <w:tcBorders>
              <w:bottom w:val="single" w:sz="8" w:color="auto"/>
            </w:tcBorders>
            <w:shd w:val="clear" w:color="auto" w:fill="E5E5E5"/>
          </w:tcPr>
          <w:p>
            <w:pPr>
              <w:jc w:val="right"/>
              <w:ind w:right="46"/>
              <w:spacing w:after="0" w:line="250" w:lineRule="exact"/>
              <w:rPr>
                <w:sz w:val="20"/>
                <w:szCs w:val="20"/>
                <w:color w:val="auto"/>
              </w:rPr>
            </w:pPr>
            <w:r>
              <w:rPr>
                <w:rFonts w:ascii="Arial" w:cs="Arial" w:eastAsia="Arial" w:hAnsi="Arial"/>
                <w:sz w:val="15"/>
                <w:szCs w:val="15"/>
                <w:color w:val="auto"/>
              </w:rPr>
              <w:t>70.6</w:t>
            </w:r>
            <w:r>
              <w:rPr>
                <w:rFonts w:ascii="Arial" w:cs="Arial" w:eastAsia="Arial" w:hAnsi="Arial"/>
                <w:sz w:val="28"/>
                <w:szCs w:val="28"/>
                <w:color w:val="auto"/>
                <w:vertAlign w:val="subscript"/>
              </w:rPr>
              <w:t>​​ ​</w:t>
            </w:r>
          </w:p>
        </w:tc>
        <w:tc>
          <w:tcPr>
            <w:tcW w:w="340" w:type="dxa"/>
            <w:vAlign w:val="bottom"/>
            <w:tcBorders>
              <w:bottom w:val="single" w:sz="8" w:color="auto"/>
            </w:tcBorders>
            <w:shd w:val="clear" w:color="auto" w:fill="E5E5E5"/>
          </w:tcPr>
          <w:p>
            <w:pPr>
              <w:ind w:left="1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ind w:left="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 ​</w:t>
            </w:r>
          </w:p>
        </w:tc>
        <w:tc>
          <w:tcPr>
            <w:tcW w:w="3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8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6"/>
                <w:szCs w:val="16"/>
                <w:color w:val="auto"/>
              </w:rPr>
              <w:t>70.6</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52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Other Products</w:t>
            </w:r>
          </w:p>
        </w:tc>
        <w:tc>
          <w:tcPr>
            <w:tcW w:w="2080" w:type="dxa"/>
            <w:vAlign w:val="bottom"/>
            <w:tcBorders>
              <w:bottom w:val="single" w:sz="8" w:color="auto"/>
            </w:tcBorders>
          </w:tcPr>
          <w:p>
            <w:pPr>
              <w:ind w:left="17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80" w:type="dxa"/>
            <w:vAlign w:val="bottom"/>
            <w:tcBorders>
              <w:bottom w:val="single" w:sz="8" w:color="auto"/>
            </w:tcBorders>
          </w:tcPr>
          <w:p>
            <w:pPr>
              <w:jc w:val="right"/>
              <w:ind w:right="46"/>
              <w:spacing w:after="0" w:line="250" w:lineRule="exact"/>
              <w:rPr>
                <w:sz w:val="20"/>
                <w:szCs w:val="20"/>
                <w:color w:val="auto"/>
              </w:rPr>
            </w:pPr>
            <w:r>
              <w:rPr>
                <w:rFonts w:ascii="Arial" w:cs="Arial" w:eastAsia="Arial" w:hAnsi="Arial"/>
                <w:sz w:val="15"/>
                <w:szCs w:val="15"/>
                <w:color w:val="auto"/>
              </w:rPr>
              <w:t>160.6</w:t>
            </w:r>
            <w:r>
              <w:rPr>
                <w:rFonts w:ascii="Arial" w:cs="Arial" w:eastAsia="Arial" w:hAnsi="Arial"/>
                <w:sz w:val="28"/>
                <w:szCs w:val="28"/>
                <w:color w:val="auto"/>
                <w:vertAlign w:val="subscript"/>
              </w:rPr>
              <w:t>​​ ​</w:t>
            </w:r>
          </w:p>
        </w:tc>
        <w:tc>
          <w:tcPr>
            <w:tcW w:w="800" w:type="dxa"/>
            <w:vAlign w:val="bottom"/>
            <w:tcBorders>
              <w:bottom w:val="single" w:sz="8" w:color="auto"/>
            </w:tcBorders>
            <w:gridSpan w:val="2"/>
          </w:tcPr>
          <w:p>
            <w:pPr>
              <w:jc w:val="right"/>
              <w:ind w:right="9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​188.3</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​(1.8) </w:t>
            </w:r>
            <w:r>
              <w:rPr>
                <w:rFonts w:ascii="Arial" w:cs="Arial" w:eastAsia="Arial" w:hAnsi="Arial"/>
                <w:sz w:val="28"/>
                <w:szCs w:val="28"/>
                <w:color w:val="auto"/>
                <w:vertAlign w:val="subscript"/>
              </w:rPr>
              <w:t>​​ ​</w:t>
            </w:r>
          </w:p>
        </w:tc>
        <w:tc>
          <w:tcPr>
            <w:tcW w:w="32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520" w:type="dxa"/>
            <w:vAlign w:val="bottom"/>
            <w:tcBorders>
              <w:bottom w:val="single" w:sz="8" w:color="auto"/>
            </w:tcBorders>
            <w:shd w:val="clear" w:color="auto" w:fill="E5E5E5"/>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License Revenues</w:t>
            </w:r>
          </w:p>
        </w:tc>
        <w:tc>
          <w:tcPr>
            <w:tcW w:w="2080" w:type="dxa"/>
            <w:vAlign w:val="bottom"/>
            <w:tcBorders>
              <w:bottom w:val="single" w:sz="8" w:color="auto"/>
            </w:tcBorders>
            <w:shd w:val="clear" w:color="auto" w:fill="E5E5E5"/>
          </w:tcPr>
          <w:p>
            <w:pPr>
              <w:ind w:left="17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80" w:type="dxa"/>
            <w:vAlign w:val="bottom"/>
            <w:tcBorders>
              <w:bottom w:val="single" w:sz="8" w:color="auto"/>
            </w:tcBorders>
            <w:shd w:val="clear" w:color="auto" w:fill="E5E5E5"/>
          </w:tcPr>
          <w:p>
            <w:pPr>
              <w:jc w:val="right"/>
              <w:ind w:right="46"/>
              <w:spacing w:after="0" w:line="250" w:lineRule="exact"/>
              <w:rPr>
                <w:sz w:val="20"/>
                <w:szCs w:val="20"/>
                <w:color w:val="auto"/>
              </w:rPr>
            </w:pPr>
            <w:r>
              <w:rPr>
                <w:rFonts w:ascii="Arial" w:cs="Arial" w:eastAsia="Arial" w:hAnsi="Arial"/>
                <w:sz w:val="15"/>
                <w:szCs w:val="15"/>
                <w:color w:val="auto"/>
              </w:rPr>
              <w:t>30.6</w:t>
            </w:r>
            <w:r>
              <w:rPr>
                <w:rFonts w:ascii="Arial" w:cs="Arial" w:eastAsia="Arial" w:hAnsi="Arial"/>
                <w:sz w:val="28"/>
                <w:szCs w:val="28"/>
                <w:color w:val="auto"/>
                <w:vertAlign w:val="subscript"/>
              </w:rPr>
              <w:t>​​ ​</w:t>
            </w:r>
          </w:p>
        </w:tc>
        <w:tc>
          <w:tcPr>
            <w:tcW w:w="800" w:type="dxa"/>
            <w:vAlign w:val="bottom"/>
            <w:tcBorders>
              <w:bottom w:val="single" w:sz="8" w:color="auto"/>
            </w:tcBorders>
            <w:gridSpan w:val="2"/>
            <w:shd w:val="clear" w:color="auto" w:fill="E5E5E5"/>
          </w:tcPr>
          <w:p>
            <w:pPr>
              <w:jc w:val="right"/>
              <w:ind w:right="9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13.6</w:t>
            </w:r>
          </w:p>
        </w:tc>
        <w:tc>
          <w:tcPr>
            <w:tcW w:w="2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E5E5E5"/>
          </w:tcPr>
          <w:p>
            <w:pPr>
              <w:ind w:left="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 ​</w:t>
            </w:r>
          </w:p>
        </w:tc>
        <w:tc>
          <w:tcPr>
            <w:tcW w:w="320" w:type="dxa"/>
            <w:vAlign w:val="bottom"/>
            <w:tcBorders>
              <w:bottom w:val="single" w:sz="8" w:color="auto"/>
            </w:tcBorders>
            <w:shd w:val="clear" w:color="auto" w:fill="E5E5E5"/>
          </w:tcPr>
          <w:p>
            <w:pPr>
              <w:ind w:left="1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8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6"/>
                <w:szCs w:val="16"/>
                <w:color w:val="auto"/>
              </w:rPr>
              <w:t>44.2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  Total</w:t>
            </w:r>
          </w:p>
        </w:tc>
        <w:tc>
          <w:tcPr>
            <w:tcW w:w="28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b w:val="1"/>
                <w:bCs w:val="1"/>
                <w:color w:val="auto"/>
              </w:rPr>
              <w:t>​ ​​$1,430.6​​ ​</w:t>
            </w:r>
          </w:p>
        </w:tc>
        <w:tc>
          <w:tcPr>
            <w:tcW w:w="8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​$501.6</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w:t>
            </w: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​$(1.8) ​​ ​</w:t>
            </w:r>
          </w:p>
        </w:tc>
        <w:tc>
          <w:tcPr>
            <w:tcW w:w="9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​$1,930.4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Totals may not add due to rounding.</w:t>
      </w:r>
    </w:p>
    <w:p>
      <w:pPr>
        <w:spacing w:after="0" w:line="80" w:lineRule="exact"/>
        <w:rPr>
          <w:sz w:val="20"/>
          <w:szCs w:val="20"/>
          <w:color w:val="auto"/>
        </w:rPr>
      </w:pPr>
    </w:p>
    <w:p>
      <w:pPr>
        <w:ind w:left="1040" w:hanging="368"/>
        <w:spacing w:after="0"/>
        <w:tabs>
          <w:tab w:leader="none" w:pos="10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FY25 Keenova Net Sales.</w:t>
      </w:r>
    </w:p>
    <w:p>
      <w:pPr>
        <w:spacing w:after="0" w:line="66" w:lineRule="exact"/>
        <w:rPr>
          <w:rFonts w:ascii="Arial" w:cs="Arial" w:eastAsia="Arial" w:hAnsi="Arial"/>
          <w:sz w:val="13"/>
          <w:szCs w:val="13"/>
          <w:color w:val="auto"/>
        </w:rPr>
      </w:pPr>
    </w:p>
    <w:p>
      <w:pPr>
        <w:ind w:left="1040" w:hanging="368"/>
        <w:spacing w:after="0"/>
        <w:tabs>
          <w:tab w:leader="none" w:pos="10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Addition of Endo Brands Net Sales for the pre-merger period January 1 to July 31, 2025, as derived from Endo accounting records.</w:t>
      </w:r>
    </w:p>
    <w:p>
      <w:pPr>
        <w:spacing w:after="0" w:line="80" w:lineRule="exact"/>
        <w:rPr>
          <w:rFonts w:ascii="Arial" w:cs="Arial" w:eastAsia="Arial" w:hAnsi="Arial"/>
          <w:sz w:val="13"/>
          <w:szCs w:val="13"/>
          <w:color w:val="auto"/>
        </w:rPr>
      </w:pPr>
    </w:p>
    <w:p>
      <w:pPr>
        <w:ind w:left="1040" w:hanging="368"/>
        <w:spacing w:after="0"/>
        <w:tabs>
          <w:tab w:leader="none" w:pos="10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Removes Endocet (a discounted Gx Product) net sales included in “FY25.”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0"/>
        <w:spacing w:after="0"/>
        <w:tabs>
          <w:tab w:leader="none" w:pos="5220" w:val="left"/>
          <w:tab w:leader="none" w:pos="8340" w:val="left"/>
        </w:tabs>
        <w:rPr>
          <w:sz w:val="20"/>
          <w:szCs w:val="20"/>
          <w:color w:val="auto"/>
        </w:rPr>
      </w:pPr>
      <w:r>
        <w:rPr>
          <w:rFonts w:ascii="Arial" w:cs="Arial" w:eastAsia="Arial" w:hAnsi="Arial"/>
          <w:sz w:val="27"/>
          <w:szCs w:val="27"/>
          <w:color w:val="323232"/>
          <w:vertAlign w:val="subscript"/>
        </w:rPr>
        <w:t>​</w:t>
      </w:r>
      <w:r>
        <w:rPr>
          <w:sz w:val="20"/>
          <w:szCs w:val="20"/>
          <w:color w:val="auto"/>
        </w:rPr>
        <w:tab/>
      </w:r>
      <w:r>
        <w:rPr>
          <w:rFonts w:ascii="Arial" w:cs="Arial" w:eastAsia="Arial" w:hAnsi="Arial"/>
          <w:sz w:val="26"/>
          <w:szCs w:val="26"/>
          <w:color w:val="323232"/>
          <w:vertAlign w:val="subscript"/>
        </w:rPr>
        <w:t>​ ​</w:t>
      </w:r>
      <w:r>
        <w:rPr>
          <w:sz w:val="20"/>
          <w:szCs w:val="20"/>
          <w:color w:val="auto"/>
        </w:rPr>
        <w:tab/>
      </w:r>
      <w:r>
        <w:rPr>
          <w:rFonts w:ascii="Arial" w:cs="Arial" w:eastAsia="Arial" w:hAnsi="Arial"/>
          <w:sz w:val="13"/>
          <w:szCs w:val="13"/>
          <w:color w:val="323232"/>
        </w:rPr>
        <w:t>2026 Proxy Statement  |  A-1</w:t>
      </w:r>
      <w:r>
        <w:rPr>
          <w:rFonts w:ascii="Arial" w:cs="Arial" w:eastAsia="Arial" w:hAnsi="Arial"/>
          <w:sz w:val="26"/>
          <w:szCs w:val="26"/>
          <w:color w:val="323232"/>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-46355</wp:posOffset>
            </wp:positionV>
            <wp:extent cx="445770" cy="68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5770" cy="685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3"/>
          <w:szCs w:val="13"/>
          <w:color w:val="323232"/>
        </w:rPr>
        <w:t>Annex A</w:t>
      </w:r>
    </w:p>
    <w:p>
      <w:pPr>
        <w:spacing w:after="0" w:line="200" w:lineRule="exact"/>
        <w:rPr>
          <w:sz w:val="20"/>
          <w:szCs w:val="20"/>
          <w:color w:val="auto"/>
        </w:rPr>
      </w:pPr>
    </w:p>
    <w:p>
      <w:pPr>
        <w:spacing w:after="0" w:line="21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pro forma combined Adjusted EBITDA for the periods presented.</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3180" w:type="dxa"/>
            <w:vAlign w:val="bottom"/>
            <w:shd w:val="clear" w:color="auto" w:fill="B2EEDE"/>
          </w:tcPr>
          <w:p>
            <w:pPr>
              <w:spacing w:after="0"/>
              <w:rPr>
                <w:sz w:val="16"/>
                <w:szCs w:val="16"/>
                <w:color w:val="auto"/>
              </w:rPr>
            </w:pPr>
          </w:p>
        </w:tc>
        <w:tc>
          <w:tcPr>
            <w:tcW w:w="6220" w:type="dxa"/>
            <w:vAlign w:val="bottom"/>
            <w:shd w:val="clear" w:color="auto" w:fill="B2EEDE"/>
          </w:tcPr>
          <w:p>
            <w:pPr>
              <w:ind w:left="3360"/>
              <w:spacing w:after="0"/>
              <w:rPr>
                <w:sz w:val="20"/>
                <w:szCs w:val="20"/>
                <w:color w:val="auto"/>
              </w:rPr>
            </w:pPr>
            <w:r>
              <w:rPr>
                <w:rFonts w:ascii="Arial" w:cs="Arial" w:eastAsia="Arial" w:hAnsi="Arial"/>
                <w:sz w:val="14"/>
                <w:szCs w:val="14"/>
                <w:b w:val="1"/>
                <w:bCs w:val="1"/>
                <w:color w:val="auto"/>
              </w:rPr>
              <w:t>Endo</w:t>
            </w:r>
          </w:p>
        </w:tc>
      </w:tr>
      <w:tr>
        <w:trPr>
          <w:trHeight w:val="224"/>
        </w:trPr>
        <w:tc>
          <w:tcPr>
            <w:tcW w:w="3180" w:type="dxa"/>
            <w:vAlign w:val="bottom"/>
            <w:tcBorders>
              <w:bottom w:val="single" w:sz="8" w:color="auto"/>
            </w:tcBorders>
            <w:shd w:val="clear" w:color="auto" w:fill="B2EEDE"/>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in millions)</w:t>
            </w:r>
          </w:p>
        </w:tc>
        <w:tc>
          <w:tcPr>
            <w:tcW w:w="6220" w:type="dxa"/>
            <w:vAlign w:val="bottom"/>
            <w:tcBorders>
              <w:bottom w:val="single" w:sz="8" w:color="auto"/>
            </w:tcBorders>
            <w:shd w:val="clear" w:color="auto" w:fill="B2EEDE"/>
          </w:tcPr>
          <w:p>
            <w:pPr>
              <w:ind w:left="214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FY25</w:t>
            </w:r>
            <w:r>
              <w:rPr>
                <w:rFonts w:ascii="Arial" w:cs="Arial" w:eastAsia="Arial" w:hAnsi="Arial"/>
                <w:sz w:val="16"/>
                <w:szCs w:val="16"/>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Pre-Merger</w:t>
            </w:r>
            <w:r>
              <w:rPr>
                <w:rFonts w:ascii="Arial" w:cs="Arial" w:eastAsia="Arial" w:hAnsi="Arial"/>
                <w:sz w:val="16"/>
                <w:szCs w:val="16"/>
                <w:b w:val="1"/>
                <w:bCs w:val="1"/>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Other</w:t>
            </w:r>
            <w:r>
              <w:rPr>
                <w:rFonts w:ascii="Arial" w:cs="Arial" w:eastAsia="Arial" w:hAnsi="Arial"/>
                <w:sz w:val="16"/>
                <w:szCs w:val="16"/>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Pro Forma FY25 </w:t>
            </w:r>
            <w:r>
              <w:rPr>
                <w:rFonts w:ascii="Arial" w:cs="Arial" w:eastAsia="Arial" w:hAnsi="Arial"/>
                <w:sz w:val="26"/>
                <w:szCs w:val="26"/>
                <w:b w:val="1"/>
                <w:bCs w:val="1"/>
                <w:color w:val="auto"/>
                <w:vertAlign w:val="subscript"/>
              </w:rPr>
              <w:t>​</w:t>
            </w:r>
          </w:p>
        </w:tc>
      </w:tr>
    </w:tbl>
    <w:p>
      <w:pPr>
        <w:spacing w:after="0" w:line="5" w:lineRule="exact"/>
        <w:rPr>
          <w:sz w:val="20"/>
          <w:szCs w:val="20"/>
          <w:color w:val="auto"/>
        </w:rPr>
      </w:pPr>
    </w:p>
    <w:p>
      <w:pPr>
        <w:sectPr>
          <w:pgSz w:w="11900" w:h="16838" w:orient="portrait"/>
          <w:cols w:equalWidth="0" w:num="1">
            <w:col w:w="10100"/>
          </w:cols>
          <w:pgMar w:left="580" w:top="97" w:right="1219" w:bottom="1440" w:gutter="0" w:footer="0" w:header="0"/>
        </w:sectPr>
      </w:pPr>
    </w:p>
    <w:tbl>
      <w:tblPr>
        <w:tblLayout w:type="fixed"/>
        <w:tblInd w:w="720" w:type="dxa"/>
        <w:tblCellMar>
          <w:top w:w="0" w:type="dxa"/>
          <w:left w:w="0" w:type="dxa"/>
          <w:bottom w:w="0" w:type="dxa"/>
          <w:right w:w="0" w:type="dxa"/>
        </w:tblCellMar>
      </w:tblPr>
      <w:tr>
        <w:trPr>
          <w:trHeight w:val="184"/>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560" w:type="dxa"/>
            <w:vAlign w:val="bottom"/>
          </w:tcPr>
          <w:p>
            <w:pPr>
              <w:spacing w:after="0"/>
              <w:rPr>
                <w:sz w:val="20"/>
                <w:szCs w:val="20"/>
                <w:color w:val="auto"/>
              </w:rPr>
            </w:pPr>
            <w:r>
              <w:rPr>
                <w:rFonts w:ascii="Arial" w:cs="Arial" w:eastAsia="Arial" w:hAnsi="Arial"/>
                <w:sz w:val="16"/>
                <w:szCs w:val="16"/>
                <w:color w:val="auto"/>
              </w:rPr>
              <w:t>Net Income (loss)</w:t>
            </w:r>
          </w:p>
        </w:tc>
        <w:tc>
          <w:tcPr>
            <w:tcW w:w="1680" w:type="dxa"/>
            <w:vAlign w:val="bottom"/>
            <w:gridSpan w:val="3"/>
          </w:tcPr>
          <w:p>
            <w:pPr>
              <w:jc w:val="right"/>
              <w:ind w:right="166"/>
              <w:spacing w:after="0"/>
              <w:rPr>
                <w:sz w:val="20"/>
                <w:szCs w:val="20"/>
                <w:color w:val="auto"/>
              </w:rPr>
            </w:pPr>
            <w:r>
              <w:rPr>
                <w:rFonts w:ascii="Arial" w:cs="Arial" w:eastAsia="Arial" w:hAnsi="Arial"/>
                <w:sz w:val="16"/>
                <w:szCs w:val="16"/>
                <w:color w:val="auto"/>
              </w:rPr>
              <w:t>$(489.5)</w:t>
            </w:r>
          </w:p>
        </w:tc>
        <w:tc>
          <w:tcPr>
            <w:tcW w:w="780" w:type="dxa"/>
            <w:vAlign w:val="bottom"/>
            <w:gridSpan w:val="4"/>
          </w:tcPr>
          <w:p>
            <w:pPr>
              <w:ind w:left="100"/>
              <w:spacing w:after="0"/>
              <w:rPr>
                <w:sz w:val="20"/>
                <w:szCs w:val="20"/>
                <w:color w:val="auto"/>
              </w:rPr>
            </w:pPr>
            <w:r>
              <w:rPr>
                <w:rFonts w:ascii="Arial" w:cs="Arial" w:eastAsia="Arial" w:hAnsi="Arial"/>
                <w:sz w:val="16"/>
                <w:szCs w:val="16"/>
                <w:color w:val="auto"/>
              </w:rPr>
              <w:t>$(375.9)</w:t>
            </w:r>
          </w:p>
        </w:tc>
        <w:tc>
          <w:tcPr>
            <w:tcW w:w="30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360" w:type="dxa"/>
            <w:vAlign w:val="bottom"/>
            <w:vMerge w:val="restart"/>
          </w:tcPr>
          <w:p>
            <w:pPr>
              <w:jc w:val="right"/>
              <w:ind w:right="59"/>
              <w:spacing w:after="0"/>
              <w:rPr>
                <w:sz w:val="20"/>
                <w:szCs w:val="20"/>
                <w:color w:val="auto"/>
              </w:rPr>
            </w:pPr>
            <w:r>
              <w:rPr>
                <w:rFonts w:ascii="Arial" w:cs="Arial" w:eastAsia="Arial" w:hAnsi="Arial"/>
                <w:sz w:val="16"/>
                <w:szCs w:val="16"/>
                <w:color w:val="auto"/>
              </w:rPr>
              <w:t>​​ ​</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$(865.9)</w:t>
            </w:r>
          </w:p>
        </w:tc>
        <w:tc>
          <w:tcPr>
            <w:tcW w:w="0" w:type="dxa"/>
            <w:vAlign w:val="bottom"/>
          </w:tcPr>
          <w:p>
            <w:pPr>
              <w:spacing w:after="0"/>
              <w:rPr>
                <w:sz w:val="1"/>
                <w:szCs w:val="1"/>
                <w:color w:val="auto"/>
              </w:rPr>
            </w:pPr>
          </w:p>
        </w:tc>
      </w:tr>
      <w:tr>
        <w:trPr>
          <w:trHeight w:val="107"/>
        </w:trPr>
        <w:tc>
          <w:tcPr>
            <w:tcW w:w="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880" w:type="dxa"/>
            <w:vAlign w:val="bottom"/>
          </w:tcPr>
          <w:p>
            <w:pPr>
              <w:ind w:left="640"/>
              <w:spacing w:after="0" w:line="107" w:lineRule="exact"/>
              <w:rPr>
                <w:sz w:val="20"/>
                <w:szCs w:val="20"/>
                <w:color w:val="auto"/>
              </w:rPr>
            </w:pPr>
            <w:r>
              <w:rPr>
                <w:rFonts w:ascii="Arial" w:cs="Arial" w:eastAsia="Arial" w:hAnsi="Arial"/>
                <w:sz w:val="12"/>
                <w:szCs w:val="12"/>
                <w:color w:val="auto"/>
              </w:rPr>
              <w:t>​ ​​</w:t>
            </w:r>
          </w:p>
        </w:tc>
        <w:tc>
          <w:tcPr>
            <w:tcW w:w="120" w:type="dxa"/>
            <w:vAlign w:val="bottom"/>
          </w:tcPr>
          <w:p>
            <w:pPr>
              <w:spacing w:after="0"/>
              <w:rPr>
                <w:sz w:val="9"/>
                <w:szCs w:val="9"/>
                <w:color w:val="auto"/>
              </w:rPr>
            </w:pPr>
          </w:p>
        </w:tc>
        <w:tc>
          <w:tcPr>
            <w:tcW w:w="680" w:type="dxa"/>
            <w:vAlign w:val="bottom"/>
          </w:tcPr>
          <w:p>
            <w:pPr>
              <w:jc w:val="right"/>
              <w:ind w:right="26"/>
              <w:spacing w:after="0" w:line="107" w:lineRule="exact"/>
              <w:rPr>
                <w:sz w:val="20"/>
                <w:szCs w:val="20"/>
                <w:color w:val="auto"/>
              </w:rPr>
            </w:pPr>
            <w:r>
              <w:rPr>
                <w:rFonts w:ascii="Arial" w:cs="Arial" w:eastAsia="Arial" w:hAnsi="Arial"/>
                <w:sz w:val="12"/>
                <w:szCs w:val="12"/>
                <w:color w:val="auto"/>
              </w:rPr>
              <w:t>​​ ​</w:t>
            </w:r>
          </w:p>
        </w:tc>
        <w:tc>
          <w:tcPr>
            <w:tcW w:w="160" w:type="dxa"/>
            <w:vAlign w:val="bottom"/>
          </w:tcPr>
          <w:p>
            <w:pPr>
              <w:ind w:left="80"/>
              <w:spacing w:after="0" w:line="10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300" w:type="dxa"/>
            <w:vAlign w:val="bottom"/>
          </w:tcPr>
          <w:p>
            <w:pPr>
              <w:jc w:val="right"/>
              <w:ind w:right="120"/>
              <w:spacing w:after="0" w:line="107"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20" w:type="dxa"/>
            <w:vAlign w:val="bottom"/>
          </w:tcPr>
          <w:p>
            <w:pPr>
              <w:ind w:left="140"/>
              <w:spacing w:after="0" w:line="10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Net (income) loss from discontinued operations</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16"/>
                <w:szCs w:val="16"/>
                <w:color w:val="auto"/>
              </w:rPr>
              <w:t>32.0</w:t>
            </w:r>
            <w:r>
              <w:rPr>
                <w:rFonts w:ascii="Arial" w:cs="Arial" w:eastAsia="Arial" w:hAnsi="Arial"/>
                <w:sz w:val="31"/>
                <w:szCs w:val="31"/>
                <w:color w:val="auto"/>
                <w:vertAlign w:val="subscript"/>
              </w:rPr>
              <w:t>​​ ​</w:t>
            </w:r>
          </w:p>
        </w:tc>
        <w:tc>
          <w:tcPr>
            <w:tcW w:w="280" w:type="dxa"/>
            <w:vAlign w:val="bottom"/>
            <w:gridSpan w:val="2"/>
          </w:tcPr>
          <w:p>
            <w:pPr>
              <w:ind w:left="8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Interest expense, net</w:t>
            </w:r>
          </w:p>
        </w:tc>
        <w:tc>
          <w:tcPr>
            <w:tcW w:w="1680" w:type="dxa"/>
            <w:vAlign w:val="bottom"/>
            <w:gridSpan w:val="3"/>
          </w:tcPr>
          <w:p>
            <w:pPr>
              <w:jc w:val="right"/>
              <w:ind w:right="26"/>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 149.2</w:t>
            </w:r>
            <w:r>
              <w:rPr>
                <w:rFonts w:ascii="Arial" w:cs="Arial" w:eastAsia="Arial" w:hAnsi="Arial"/>
                <w:sz w:val="16"/>
                <w:szCs w:val="16"/>
                <w:color w:val="auto"/>
              </w:rPr>
              <w:t>​​ ​</w:t>
            </w:r>
          </w:p>
        </w:tc>
        <w:tc>
          <w:tcPr>
            <w:tcW w:w="660" w:type="dxa"/>
            <w:vAlign w:val="bottom"/>
            <w:gridSpan w:val="3"/>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124.3</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780" w:type="dxa"/>
            <w:vAlign w:val="bottom"/>
            <w:gridSpan w:val="3"/>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273.5</w:t>
            </w: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line="163" w:lineRule="exact"/>
              <w:rPr>
                <w:sz w:val="20"/>
                <w:szCs w:val="20"/>
                <w:color w:val="auto"/>
              </w:rPr>
            </w:pPr>
            <w:r>
              <w:rPr>
                <w:rFonts w:ascii="Arial" w:cs="Arial" w:eastAsia="Arial" w:hAnsi="Arial"/>
                <w:sz w:val="16"/>
                <w:szCs w:val="16"/>
                <w:color w:val="auto"/>
              </w:rPr>
              <w:t>Income tax (benefit) expense</w:t>
            </w:r>
          </w:p>
        </w:tc>
        <w:tc>
          <w:tcPr>
            <w:tcW w:w="880" w:type="dxa"/>
            <w:vAlign w:val="bottom"/>
            <w:vMerge w:val="restart"/>
          </w:tcPr>
          <w:p>
            <w:pPr>
              <w:ind w:left="640"/>
              <w:spacing w:after="0"/>
              <w:rPr>
                <w:sz w:val="20"/>
                <w:szCs w:val="20"/>
                <w:color w:val="auto"/>
              </w:rPr>
            </w:pPr>
            <w:r>
              <w:rPr>
                <w:rFonts w:ascii="Arial" w:cs="Arial" w:eastAsia="Arial" w:hAnsi="Arial"/>
                <w:sz w:val="16"/>
                <w:szCs w:val="16"/>
                <w:color w:val="auto"/>
              </w:rPr>
              <w:t>​ ​​</w:t>
            </w:r>
          </w:p>
        </w:tc>
        <w:tc>
          <w:tcPr>
            <w:tcW w:w="800" w:type="dxa"/>
            <w:vAlign w:val="bottom"/>
            <w:gridSpan w:val="2"/>
          </w:tcPr>
          <w:p>
            <w:pPr>
              <w:jc w:val="right"/>
              <w:ind w:right="166"/>
              <w:spacing w:after="0" w:line="163" w:lineRule="exact"/>
              <w:rPr>
                <w:sz w:val="20"/>
                <w:szCs w:val="20"/>
                <w:color w:val="auto"/>
              </w:rPr>
            </w:pPr>
            <w:r>
              <w:rPr>
                <w:rFonts w:ascii="Arial" w:cs="Arial" w:eastAsia="Arial" w:hAnsi="Arial"/>
                <w:sz w:val="16"/>
                <w:szCs w:val="16"/>
                <w:color w:val="auto"/>
              </w:rPr>
              <w:t>​ (23.8)</w:t>
            </w:r>
          </w:p>
        </w:tc>
        <w:tc>
          <w:tcPr>
            <w:tcW w:w="16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spacing w:after="0" w:line="163" w:lineRule="exact"/>
              <w:rPr>
                <w:sz w:val="20"/>
                <w:szCs w:val="20"/>
                <w:color w:val="auto"/>
              </w:rPr>
            </w:pPr>
            <w:r>
              <w:rPr>
                <w:rFonts w:ascii="Arial" w:cs="Arial" w:eastAsia="Arial" w:hAnsi="Arial"/>
                <w:sz w:val="16"/>
                <w:szCs w:val="16"/>
                <w:color w:val="auto"/>
              </w:rPr>
              <w:t>​ 117.9</w:t>
            </w:r>
          </w:p>
        </w:tc>
        <w:tc>
          <w:tcPr>
            <w:tcW w:w="120" w:type="dxa"/>
            <w:vAlign w:val="bottom"/>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 ​ ​ ​</w:t>
            </w:r>
          </w:p>
        </w:tc>
        <w:tc>
          <w:tcPr>
            <w:tcW w:w="56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 ​​ ​</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63" w:lineRule="exact"/>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07"/>
        </w:trPr>
        <w:tc>
          <w:tcPr>
            <w:tcW w:w="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6"/>
              <w:spacing w:after="0" w:line="107" w:lineRule="exact"/>
              <w:rPr>
                <w:sz w:val="20"/>
                <w:szCs w:val="20"/>
                <w:color w:val="auto"/>
              </w:rPr>
            </w:pPr>
            <w:r>
              <w:rPr>
                <w:rFonts w:ascii="Arial" w:cs="Arial" w:eastAsia="Arial" w:hAnsi="Arial"/>
                <w:sz w:val="12"/>
                <w:szCs w:val="12"/>
                <w:color w:val="auto"/>
              </w:rPr>
              <w:t>​​ ​</w:t>
            </w:r>
          </w:p>
        </w:tc>
        <w:tc>
          <w:tcPr>
            <w:tcW w:w="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16"/>
                <w:szCs w:val="16"/>
                <w:color w:val="auto"/>
              </w:rPr>
              <w:t>15.1</w:t>
            </w:r>
            <w:r>
              <w:rPr>
                <w:rFonts w:ascii="Arial" w:cs="Arial" w:eastAsia="Arial" w:hAnsi="Arial"/>
                <w:sz w:val="31"/>
                <w:szCs w:val="31"/>
                <w:color w:val="auto"/>
                <w:vertAlign w:val="subscript"/>
              </w:rPr>
              <w:t>​​ ​</w:t>
            </w:r>
          </w:p>
        </w:tc>
        <w:tc>
          <w:tcPr>
            <w:tcW w:w="280" w:type="dxa"/>
            <w:vAlign w:val="bottom"/>
            <w:gridSpan w:val="2"/>
          </w:tcPr>
          <w:p>
            <w:pPr>
              <w:ind w:left="8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Amortization</w:t>
            </w:r>
          </w:p>
        </w:tc>
        <w:tc>
          <w:tcPr>
            <w:tcW w:w="1680" w:type="dxa"/>
            <w:vAlign w:val="bottom"/>
            <w:gridSpan w:val="3"/>
          </w:tcPr>
          <w:p>
            <w:pPr>
              <w:jc w:val="right"/>
              <w:ind w:right="26"/>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 115.5</w:t>
            </w:r>
            <w:r>
              <w:rPr>
                <w:rFonts w:ascii="Arial" w:cs="Arial" w:eastAsia="Arial" w:hAnsi="Arial"/>
                <w:sz w:val="16"/>
                <w:szCs w:val="16"/>
                <w:color w:val="auto"/>
              </w:rPr>
              <w:t>​​ ​</w:t>
            </w:r>
          </w:p>
        </w:tc>
        <w:tc>
          <w:tcPr>
            <w:tcW w:w="660" w:type="dxa"/>
            <w:vAlign w:val="bottom"/>
            <w:gridSpan w:val="3"/>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108.7</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780" w:type="dxa"/>
            <w:vAlign w:val="bottom"/>
            <w:gridSpan w:val="3"/>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224.2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Combination, integration, and other related expenses</w:t>
            </w:r>
          </w:p>
        </w:tc>
        <w:tc>
          <w:tcPr>
            <w:tcW w:w="1680" w:type="dxa"/>
            <w:vAlign w:val="bottom"/>
            <w:gridSpan w:val="3"/>
          </w:tcPr>
          <w:p>
            <w:pPr>
              <w:jc w:val="right"/>
              <w:ind w:right="26"/>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 141.2</w:t>
            </w:r>
            <w:r>
              <w:rPr>
                <w:rFonts w:ascii="Arial" w:cs="Arial" w:eastAsia="Arial" w:hAnsi="Arial"/>
                <w:sz w:val="16"/>
                <w:szCs w:val="16"/>
                <w:color w:val="auto"/>
              </w:rPr>
              <w:t>​​ ​</w:t>
            </w:r>
          </w:p>
        </w:tc>
        <w:tc>
          <w:tcPr>
            <w:tcW w:w="280" w:type="dxa"/>
            <w:vAlign w:val="bottom"/>
            <w:gridSpan w:val="2"/>
          </w:tcPr>
          <w:p>
            <w:pPr>
              <w:ind w:left="8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780" w:type="dxa"/>
            <w:vAlign w:val="bottom"/>
            <w:gridSpan w:val="3"/>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207.2</w:t>
            </w: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line="163" w:lineRule="exact"/>
              <w:rPr>
                <w:sz w:val="20"/>
                <w:szCs w:val="20"/>
                <w:color w:val="auto"/>
              </w:rPr>
            </w:pPr>
            <w:r>
              <w:rPr>
                <w:rFonts w:ascii="Arial" w:cs="Arial" w:eastAsia="Arial" w:hAnsi="Arial"/>
                <w:sz w:val="16"/>
                <w:szCs w:val="16"/>
                <w:color w:val="auto"/>
              </w:rPr>
              <w:t>Restructuring charges, net</w:t>
            </w:r>
          </w:p>
        </w:tc>
        <w:tc>
          <w:tcPr>
            <w:tcW w:w="880" w:type="dxa"/>
            <w:vAlign w:val="bottom"/>
            <w:vMerge w:val="restart"/>
          </w:tcPr>
          <w:p>
            <w:pPr>
              <w:ind w:left="640"/>
              <w:spacing w:after="0"/>
              <w:rPr>
                <w:sz w:val="20"/>
                <w:szCs w:val="20"/>
                <w:color w:val="auto"/>
              </w:rPr>
            </w:pPr>
            <w:r>
              <w:rPr>
                <w:rFonts w:ascii="Arial" w:cs="Arial" w:eastAsia="Arial" w:hAnsi="Arial"/>
                <w:sz w:val="16"/>
                <w:szCs w:val="16"/>
                <w:color w:val="auto"/>
              </w:rPr>
              <w:t>​ ​​</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66"/>
              <w:spacing w:after="0" w:line="163" w:lineRule="exact"/>
              <w:rPr>
                <w:sz w:val="20"/>
                <w:szCs w:val="20"/>
                <w:color w:val="auto"/>
              </w:rPr>
            </w:pPr>
            <w:r>
              <w:rPr>
                <w:rFonts w:ascii="Arial" w:cs="Arial" w:eastAsia="Arial" w:hAnsi="Arial"/>
                <w:sz w:val="16"/>
                <w:szCs w:val="16"/>
                <w:color w:val="auto"/>
              </w:rPr>
              <w:t>(2.2)</w:t>
            </w:r>
          </w:p>
        </w:tc>
        <w:tc>
          <w:tcPr>
            <w:tcW w:w="280" w:type="dxa"/>
            <w:vAlign w:val="bottom"/>
            <w:gridSpan w:val="2"/>
            <w:vMerge w:val="restart"/>
          </w:tcPr>
          <w:p>
            <w:pPr>
              <w:ind w:left="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4"/>
                <w:szCs w:val="14"/>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  ​​ ​ ​ ​</w:t>
            </w:r>
          </w:p>
        </w:tc>
        <w:tc>
          <w:tcPr>
            <w:tcW w:w="56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 ​​ ​</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6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07"/>
        </w:trPr>
        <w:tc>
          <w:tcPr>
            <w:tcW w:w="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6"/>
              <w:spacing w:after="0" w:line="107" w:lineRule="exact"/>
              <w:rPr>
                <w:sz w:val="20"/>
                <w:szCs w:val="20"/>
                <w:color w:val="auto"/>
              </w:rPr>
            </w:pPr>
            <w:r>
              <w:rPr>
                <w:rFonts w:ascii="Arial" w:cs="Arial" w:eastAsia="Arial" w:hAnsi="Arial"/>
                <w:sz w:val="12"/>
                <w:szCs w:val="12"/>
                <w:color w:val="auto"/>
              </w:rPr>
              <w:t>​​ ​</w:t>
            </w:r>
          </w:p>
        </w:tc>
        <w:tc>
          <w:tcPr>
            <w:tcW w:w="2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Liabilities management and separation costs</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line="163" w:lineRule="exact"/>
              <w:rPr>
                <w:sz w:val="20"/>
                <w:szCs w:val="20"/>
                <w:color w:val="auto"/>
              </w:rPr>
            </w:pPr>
            <w:r>
              <w:rPr>
                <w:rFonts w:ascii="Arial" w:cs="Arial" w:eastAsia="Arial" w:hAnsi="Arial"/>
                <w:sz w:val="16"/>
                <w:szCs w:val="16"/>
                <w:color w:val="auto"/>
              </w:rPr>
              <w:t>Loss (gain) on extinguishment of debt</w:t>
            </w:r>
          </w:p>
        </w:tc>
        <w:tc>
          <w:tcPr>
            <w:tcW w:w="880" w:type="dxa"/>
            <w:vAlign w:val="bottom"/>
            <w:vMerge w:val="restart"/>
          </w:tcPr>
          <w:p>
            <w:pPr>
              <w:ind w:left="640"/>
              <w:spacing w:after="0"/>
              <w:rPr>
                <w:sz w:val="20"/>
                <w:szCs w:val="20"/>
                <w:color w:val="auto"/>
              </w:rPr>
            </w:pPr>
            <w:r>
              <w:rPr>
                <w:rFonts w:ascii="Arial" w:cs="Arial" w:eastAsia="Arial" w:hAnsi="Arial"/>
                <w:sz w:val="16"/>
                <w:szCs w:val="16"/>
                <w:color w:val="auto"/>
              </w:rPr>
              <w:t>​ ​​</w:t>
            </w:r>
          </w:p>
        </w:tc>
        <w:tc>
          <w:tcPr>
            <w:tcW w:w="800" w:type="dxa"/>
            <w:vAlign w:val="bottom"/>
            <w:gridSpan w:val="2"/>
          </w:tcPr>
          <w:p>
            <w:pPr>
              <w:jc w:val="right"/>
              <w:ind w:right="166"/>
              <w:spacing w:after="0" w:line="163" w:lineRule="exact"/>
              <w:rPr>
                <w:sz w:val="20"/>
                <w:szCs w:val="20"/>
                <w:color w:val="auto"/>
              </w:rPr>
            </w:pPr>
            <w:r>
              <w:rPr>
                <w:rFonts w:ascii="Arial" w:cs="Arial" w:eastAsia="Arial" w:hAnsi="Arial"/>
                <w:sz w:val="16"/>
                <w:szCs w:val="16"/>
                <w:color w:val="auto"/>
              </w:rPr>
              <w:t>​ (15.9)</w:t>
            </w:r>
          </w:p>
        </w:tc>
        <w:tc>
          <w:tcPr>
            <w:tcW w:w="280" w:type="dxa"/>
            <w:vAlign w:val="bottom"/>
            <w:gridSpan w:val="2"/>
            <w:vMerge w:val="restart"/>
          </w:tcPr>
          <w:p>
            <w:pPr>
              <w:ind w:left="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4"/>
                <w:szCs w:val="14"/>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  ​​ ​ ​ ​</w:t>
            </w:r>
          </w:p>
        </w:tc>
        <w:tc>
          <w:tcPr>
            <w:tcW w:w="56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 ​​ ​</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3" w:lineRule="exact"/>
              <w:rPr>
                <w:sz w:val="20"/>
                <w:szCs w:val="20"/>
                <w:color w:val="auto"/>
              </w:rPr>
            </w:pPr>
            <w:r>
              <w:rPr>
                <w:rFonts w:ascii="Arial" w:cs="Arial" w:eastAsia="Arial" w:hAnsi="Arial"/>
                <w:sz w:val="16"/>
                <w:szCs w:val="16"/>
                <w:color w:val="auto"/>
              </w:rPr>
              <w:t>​ (15.9)</w:t>
            </w:r>
          </w:p>
        </w:tc>
        <w:tc>
          <w:tcPr>
            <w:tcW w:w="0" w:type="dxa"/>
            <w:vAlign w:val="bottom"/>
          </w:tcPr>
          <w:p>
            <w:pPr>
              <w:spacing w:after="0"/>
              <w:rPr>
                <w:sz w:val="1"/>
                <w:szCs w:val="1"/>
                <w:color w:val="auto"/>
              </w:rPr>
            </w:pPr>
          </w:p>
        </w:tc>
      </w:tr>
      <w:tr>
        <w:trPr>
          <w:trHeight w:val="107"/>
        </w:trPr>
        <w:tc>
          <w:tcPr>
            <w:tcW w:w="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6"/>
              <w:spacing w:after="0" w:line="107" w:lineRule="exact"/>
              <w:rPr>
                <w:sz w:val="20"/>
                <w:szCs w:val="20"/>
                <w:color w:val="auto"/>
              </w:rPr>
            </w:pPr>
            <w:r>
              <w:rPr>
                <w:rFonts w:ascii="Arial" w:cs="Arial" w:eastAsia="Arial" w:hAnsi="Arial"/>
                <w:sz w:val="12"/>
                <w:szCs w:val="12"/>
                <w:color w:val="auto"/>
              </w:rPr>
              <w:t>​​ ​</w:t>
            </w:r>
          </w:p>
        </w:tc>
        <w:tc>
          <w:tcPr>
            <w:tcW w:w="2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Loss (gain) on divestiture</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16"/>
                <w:szCs w:val="16"/>
                <w:color w:val="auto"/>
              </w:rPr>
              <w:t>5.9</w:t>
            </w:r>
            <w:r>
              <w:rPr>
                <w:rFonts w:ascii="Arial" w:cs="Arial" w:eastAsia="Arial" w:hAnsi="Arial"/>
                <w:sz w:val="31"/>
                <w:szCs w:val="31"/>
                <w:color w:val="auto"/>
                <w:vertAlign w:val="subscript"/>
              </w:rPr>
              <w:t>​​ ​</w:t>
            </w:r>
          </w:p>
        </w:tc>
        <w:tc>
          <w:tcPr>
            <w:tcW w:w="280" w:type="dxa"/>
            <w:vAlign w:val="bottom"/>
            <w:gridSpan w:val="2"/>
          </w:tcPr>
          <w:p>
            <w:pPr>
              <w:ind w:left="8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Fresh-start inventory-related expenses</w:t>
            </w:r>
          </w:p>
        </w:tc>
        <w:tc>
          <w:tcPr>
            <w:tcW w:w="1680" w:type="dxa"/>
            <w:vAlign w:val="bottom"/>
            <w:gridSpan w:val="3"/>
          </w:tcPr>
          <w:p>
            <w:pPr>
              <w:jc w:val="right"/>
              <w:ind w:right="26"/>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 183.8</w:t>
            </w:r>
            <w:r>
              <w:rPr>
                <w:rFonts w:ascii="Arial" w:cs="Arial" w:eastAsia="Arial" w:hAnsi="Arial"/>
                <w:sz w:val="16"/>
                <w:szCs w:val="16"/>
                <w:color w:val="auto"/>
              </w:rPr>
              <w:t>​​ ​</w:t>
            </w:r>
          </w:p>
        </w:tc>
        <w:tc>
          <w:tcPr>
            <w:tcW w:w="660" w:type="dxa"/>
            <w:vAlign w:val="bottom"/>
            <w:gridSpan w:val="3"/>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140.7</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780" w:type="dxa"/>
            <w:vAlign w:val="bottom"/>
            <w:gridSpan w:val="3"/>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324.5</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Business combination inventory-related expenses</w:t>
            </w:r>
          </w:p>
        </w:tc>
        <w:tc>
          <w:tcPr>
            <w:tcW w:w="1680" w:type="dxa"/>
            <w:vAlign w:val="bottom"/>
            <w:gridSpan w:val="3"/>
          </w:tcPr>
          <w:p>
            <w:pPr>
              <w:jc w:val="right"/>
              <w:ind w:right="26"/>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 209.0</w:t>
            </w:r>
            <w:r>
              <w:rPr>
                <w:rFonts w:ascii="Arial" w:cs="Arial" w:eastAsia="Arial" w:hAnsi="Arial"/>
                <w:sz w:val="16"/>
                <w:szCs w:val="16"/>
                <w:color w:val="auto"/>
              </w:rPr>
              <w:t>​​ ​</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780" w:type="dxa"/>
            <w:vAlign w:val="bottom"/>
            <w:gridSpan w:val="3"/>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209.0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Share-based compensation</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16"/>
                <w:szCs w:val="16"/>
                <w:color w:val="auto"/>
              </w:rPr>
              <w:t>43.7</w:t>
            </w:r>
            <w:r>
              <w:rPr>
                <w:rFonts w:ascii="Arial" w:cs="Arial" w:eastAsia="Arial" w:hAnsi="Arial"/>
                <w:sz w:val="31"/>
                <w:szCs w:val="31"/>
                <w:color w:val="auto"/>
                <w:vertAlign w:val="subscript"/>
              </w:rPr>
              <w:t>​​ ​</w:t>
            </w:r>
          </w:p>
        </w:tc>
        <w:tc>
          <w:tcPr>
            <w:tcW w:w="280" w:type="dxa"/>
            <w:vAlign w:val="bottom"/>
            <w:gridSpan w:val="2"/>
          </w:tcPr>
          <w:p>
            <w:pPr>
              <w:ind w:left="8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Change in fair value of contingent consideration</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16"/>
                <w:szCs w:val="16"/>
                <w:color w:val="auto"/>
              </w:rPr>
              <w:t>14.3</w:t>
            </w:r>
            <w:r>
              <w:rPr>
                <w:rFonts w:ascii="Arial" w:cs="Arial" w:eastAsia="Arial" w:hAnsi="Arial"/>
                <w:sz w:val="31"/>
                <w:szCs w:val="31"/>
                <w:color w:val="auto"/>
                <w:vertAlign w:val="subscript"/>
              </w:rPr>
              <w:t>​​ ​</w:t>
            </w:r>
          </w:p>
        </w:tc>
        <w:tc>
          <w:tcPr>
            <w:tcW w:w="280" w:type="dxa"/>
            <w:vAlign w:val="bottom"/>
            <w:gridSpan w:val="2"/>
          </w:tcPr>
          <w:p>
            <w:pPr>
              <w:ind w:left="8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Change in derivative asset and liabilities fair value</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16"/>
                <w:szCs w:val="16"/>
                <w:color w:val="auto"/>
              </w:rPr>
              <w:t>5.2</w:t>
            </w:r>
            <w:r>
              <w:rPr>
                <w:rFonts w:ascii="Arial" w:cs="Arial" w:eastAsia="Arial" w:hAnsi="Arial"/>
                <w:sz w:val="31"/>
                <w:szCs w:val="31"/>
                <w:color w:val="auto"/>
                <w:vertAlign w:val="subscript"/>
              </w:rPr>
              <w:t>​​ ​</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Unrealized loss (gain) on equity investment</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16"/>
                <w:szCs w:val="16"/>
                <w:color w:val="auto"/>
              </w:rPr>
              <w:t>1.7</w:t>
            </w:r>
            <w:r>
              <w:rPr>
                <w:rFonts w:ascii="Arial" w:cs="Arial" w:eastAsia="Arial" w:hAnsi="Arial"/>
                <w:sz w:val="31"/>
                <w:szCs w:val="31"/>
                <w:color w:val="auto"/>
                <w:vertAlign w:val="subscript"/>
              </w:rPr>
              <w:t>​​ ​</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rPr>
                <w:sz w:val="20"/>
                <w:szCs w:val="20"/>
                <w:color w:val="auto"/>
              </w:rPr>
            </w:pPr>
            <w:r>
              <w:rPr>
                <w:rFonts w:ascii="Arial" w:cs="Arial" w:eastAsia="Arial" w:hAnsi="Arial"/>
                <w:sz w:val="16"/>
                <w:szCs w:val="16"/>
                <w:color w:val="auto"/>
              </w:rPr>
              <w:t>Reorganization items, net</w:t>
            </w:r>
          </w:p>
        </w:tc>
        <w:tc>
          <w:tcPr>
            <w:tcW w:w="1000" w:type="dxa"/>
            <w:vAlign w:val="bottom"/>
            <w:gridSpan w:val="2"/>
          </w:tcPr>
          <w:p>
            <w:pPr>
              <w:ind w:left="64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680" w:type="dxa"/>
            <w:vAlign w:val="bottom"/>
          </w:tcPr>
          <w:p>
            <w:pPr>
              <w:jc w:val="right"/>
              <w:ind w:right="26"/>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ind w:right="59"/>
              <w:spacing w:after="0"/>
              <w:rPr>
                <w:sz w:val="20"/>
                <w:szCs w:val="20"/>
                <w:color w:val="auto"/>
              </w:rPr>
            </w:pPr>
            <w:r>
              <w:rPr>
                <w:rFonts w:ascii="Arial" w:cs="Arial" w:eastAsia="Arial" w:hAnsi="Arial"/>
                <w:sz w:val="16"/>
                <w:szCs w:val="16"/>
                <w:color w:val="auto"/>
              </w:rPr>
              <w:t>​ ​​ ​</w:t>
            </w:r>
          </w:p>
        </w:tc>
        <w:tc>
          <w:tcPr>
            <w:tcW w:w="340" w:type="dxa"/>
            <w:vAlign w:val="bottom"/>
            <w:gridSpan w:val="2"/>
          </w:tcPr>
          <w:p>
            <w:pPr>
              <w:ind w:left="14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perscript"/>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560" w:type="dxa"/>
            <w:vAlign w:val="bottom"/>
          </w:tcPr>
          <w:p>
            <w:pPr>
              <w:ind w:left="160"/>
              <w:spacing w:after="0" w:line="163" w:lineRule="exact"/>
              <w:rPr>
                <w:sz w:val="20"/>
                <w:szCs w:val="20"/>
                <w:color w:val="auto"/>
              </w:rPr>
            </w:pPr>
            <w:r>
              <w:rPr>
                <w:rFonts w:ascii="Arial" w:cs="Arial" w:eastAsia="Arial" w:hAnsi="Arial"/>
                <w:sz w:val="16"/>
                <w:szCs w:val="16"/>
                <w:color w:val="auto"/>
              </w:rPr>
              <w:t>Other</w:t>
            </w:r>
          </w:p>
        </w:tc>
        <w:tc>
          <w:tcPr>
            <w:tcW w:w="880" w:type="dxa"/>
            <w:vAlign w:val="bottom"/>
            <w:vMerge w:val="restart"/>
          </w:tcPr>
          <w:p>
            <w:pPr>
              <w:ind w:left="640"/>
              <w:spacing w:after="0"/>
              <w:rPr>
                <w:sz w:val="20"/>
                <w:szCs w:val="20"/>
                <w:color w:val="auto"/>
              </w:rPr>
            </w:pPr>
            <w:r>
              <w:rPr>
                <w:rFonts w:ascii="Arial" w:cs="Arial" w:eastAsia="Arial" w:hAnsi="Arial"/>
                <w:sz w:val="16"/>
                <w:szCs w:val="16"/>
                <w:color w:val="auto"/>
              </w:rPr>
              <w:t>​ ​​</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66"/>
              <w:spacing w:after="0" w:line="163" w:lineRule="exact"/>
              <w:rPr>
                <w:sz w:val="20"/>
                <w:szCs w:val="20"/>
                <w:color w:val="auto"/>
              </w:rPr>
            </w:pPr>
            <w:r>
              <w:rPr>
                <w:rFonts w:ascii="Arial" w:cs="Arial" w:eastAsia="Arial" w:hAnsi="Arial"/>
                <w:sz w:val="16"/>
                <w:szCs w:val="16"/>
                <w:color w:val="auto"/>
              </w:rPr>
              <w:t>(0.1)</w:t>
            </w:r>
          </w:p>
        </w:tc>
        <w:tc>
          <w:tcPr>
            <w:tcW w:w="16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3" w:lineRule="exact"/>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 ​ ​ ​</w:t>
            </w:r>
          </w:p>
        </w:tc>
        <w:tc>
          <w:tcPr>
            <w:tcW w:w="56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 ​​ ​</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63"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07"/>
        </w:trPr>
        <w:tc>
          <w:tcPr>
            <w:tcW w:w="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6"/>
              <w:spacing w:after="0" w:line="107" w:lineRule="exact"/>
              <w:rPr>
                <w:sz w:val="20"/>
                <w:szCs w:val="20"/>
                <w:color w:val="auto"/>
              </w:rPr>
            </w:pPr>
            <w:r>
              <w:rPr>
                <w:rFonts w:ascii="Arial" w:cs="Arial" w:eastAsia="Arial" w:hAnsi="Arial"/>
                <w:sz w:val="12"/>
                <w:szCs w:val="12"/>
                <w:color w:val="auto"/>
              </w:rPr>
              <w:t>​​ ​</w:t>
            </w:r>
          </w:p>
        </w:tc>
        <w:tc>
          <w:tcPr>
            <w:tcW w:w="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​Adjusted EBITDA from continuing operations</w:t>
            </w:r>
          </w:p>
        </w:tc>
        <w:tc>
          <w:tcPr>
            <w:tcW w:w="1680" w:type="dxa"/>
            <w:vAlign w:val="bottom"/>
            <w:gridSpan w:val="3"/>
          </w:tcPr>
          <w:p>
            <w:pPr>
              <w:jc w:val="right"/>
              <w:ind w:right="26"/>
              <w:spacing w:after="0"/>
              <w:rPr>
                <w:sz w:val="20"/>
                <w:szCs w:val="20"/>
                <w:color w:val="auto"/>
              </w:rPr>
            </w:pPr>
            <w:r>
              <w:rPr>
                <w:rFonts w:ascii="Arial" w:cs="Arial" w:eastAsia="Arial" w:hAnsi="Arial"/>
                <w:sz w:val="16"/>
                <w:szCs w:val="16"/>
                <w:b w:val="1"/>
                <w:bCs w:val="1"/>
                <w:color w:val="auto"/>
              </w:rPr>
              <w:t>​ ​​$ 385.1​​ ​</w:t>
            </w:r>
          </w:p>
        </w:tc>
        <w:tc>
          <w:tcPr>
            <w:tcW w:w="660" w:type="dxa"/>
            <w:vAlign w:val="bottom"/>
            <w:gridSpan w:val="3"/>
          </w:tcPr>
          <w:p>
            <w:pPr>
              <w:ind w:left="80"/>
              <w:spacing w:after="0"/>
              <w:rPr>
                <w:sz w:val="20"/>
                <w:szCs w:val="20"/>
                <w:color w:val="auto"/>
              </w:rPr>
            </w:pPr>
            <w:r>
              <w:rPr>
                <w:rFonts w:ascii="Arial" w:cs="Arial" w:eastAsia="Arial" w:hAnsi="Arial"/>
                <w:sz w:val="16"/>
                <w:szCs w:val="16"/>
                <w:b w:val="1"/>
                <w:bCs w:val="1"/>
                <w:color w:val="auto"/>
              </w:rPr>
              <w:t>​$ 224.1</w:t>
            </w:r>
          </w:p>
        </w:tc>
        <w:tc>
          <w:tcPr>
            <w:tcW w:w="12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6"/>
                <w:szCs w:val="16"/>
                <w:b w:val="1"/>
                <w:bCs w:val="1"/>
                <w:color w:val="auto"/>
              </w:rPr>
              <w:t>​​ ​</w:t>
            </w:r>
          </w:p>
        </w:tc>
        <w:tc>
          <w:tcPr>
            <w:tcW w:w="8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​$(0.6) ​​ ​</w:t>
            </w: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​$ 608.6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-182880</wp:posOffset>
            </wp:positionV>
            <wp:extent cx="596646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-525780</wp:posOffset>
            </wp:positionV>
            <wp:extent cx="596646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-868680</wp:posOffset>
            </wp:positionV>
            <wp:extent cx="596646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-1211580</wp:posOffset>
            </wp:positionV>
            <wp:extent cx="5966460" cy="179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-1554480</wp:posOffset>
            </wp:positionV>
            <wp:extent cx="596646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-1897380</wp:posOffset>
            </wp:positionV>
            <wp:extent cx="596646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-2240280</wp:posOffset>
            </wp:positionV>
            <wp:extent cx="5966460"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-2583180</wp:posOffset>
            </wp:positionV>
            <wp:extent cx="5966460"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-2926080</wp:posOffset>
            </wp:positionV>
            <wp:extent cx="5966460"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-3268980</wp:posOffset>
            </wp:positionV>
            <wp:extent cx="5966460"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spacing w:after="0" w:line="123" w:lineRule="exact"/>
        <w:rPr>
          <w:sz w:val="20"/>
          <w:szCs w:val="20"/>
          <w:color w:val="auto"/>
        </w:rPr>
      </w:pPr>
    </w:p>
    <w:p>
      <w:pPr>
        <w:ind w:left="1040" w:hanging="368"/>
        <w:spacing w:after="0"/>
        <w:tabs>
          <w:tab w:leader="none" w:pos="10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FY25 Keenova results.</w:t>
      </w:r>
    </w:p>
    <w:p>
      <w:pPr>
        <w:spacing w:after="0" w:line="80" w:lineRule="exact"/>
        <w:rPr>
          <w:rFonts w:ascii="Arial" w:cs="Arial" w:eastAsia="Arial" w:hAnsi="Arial"/>
          <w:sz w:val="13"/>
          <w:szCs w:val="13"/>
          <w:color w:val="auto"/>
        </w:rPr>
      </w:pPr>
    </w:p>
    <w:p>
      <w:pPr>
        <w:ind w:left="1040" w:hanging="368"/>
        <w:spacing w:after="0"/>
        <w:tabs>
          <w:tab w:leader="none" w:pos="10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Addition of Endo Brands Net Sales for the pre-merger period January 1 to July 31, 2025, as derived from Endo accounting records.</w:t>
      </w:r>
    </w:p>
    <w:p>
      <w:pPr>
        <w:spacing w:after="0" w:line="66" w:lineRule="exact"/>
        <w:rPr>
          <w:rFonts w:ascii="Arial" w:cs="Arial" w:eastAsia="Arial" w:hAnsi="Arial"/>
          <w:sz w:val="13"/>
          <w:szCs w:val="13"/>
          <w:color w:val="auto"/>
        </w:rPr>
      </w:pPr>
    </w:p>
    <w:p>
      <w:pPr>
        <w:ind w:left="1040" w:hanging="368"/>
        <w:spacing w:after="0"/>
        <w:tabs>
          <w:tab w:leader="none" w:pos="10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Removes Endocet (a discontinued Gx product) results included in “FY25”.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976" w:lineRule="exact"/>
        <w:rPr>
          <w:sz w:val="20"/>
          <w:szCs w:val="20"/>
          <w:color w:val="auto"/>
        </w:rPr>
      </w:pPr>
    </w:p>
    <w:p>
      <w:pPr>
        <w:sectPr>
          <w:pgSz w:w="11900" w:h="16838" w:orient="portrait"/>
          <w:cols w:equalWidth="0" w:num="2">
            <w:col w:w="9740" w:space="220"/>
            <w:col w:w="14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80"/>
        <w:spacing w:after="0"/>
        <w:tabs>
          <w:tab w:leader="none" w:pos="5260" w:val="left"/>
        </w:tabs>
        <w:rPr>
          <w:sz w:val="20"/>
          <w:szCs w:val="20"/>
          <w:color w:val="auto"/>
        </w:rPr>
      </w:pPr>
      <w:r>
        <w:rPr>
          <w:rFonts w:ascii="Arial" w:cs="Arial" w:eastAsia="Arial" w:hAnsi="Arial"/>
          <w:sz w:val="13"/>
          <w:szCs w:val="13"/>
          <w:color w:val="323232"/>
        </w:rPr>
        <w:t>​A-2  |  2026 Proxy Statement</w:t>
      </w:r>
      <w:r>
        <w:rPr>
          <w:sz w:val="20"/>
          <w:szCs w:val="20"/>
          <w:color w:val="auto"/>
        </w:rPr>
        <w:tab/>
      </w:r>
      <w:r>
        <w:rPr>
          <w:rFonts w:ascii="Arial" w:cs="Arial" w:eastAsia="Arial" w:hAnsi="Arial"/>
          <w:sz w:val="13"/>
          <w:szCs w:val="13"/>
          <w:color w:val="323232"/>
        </w:rPr>
        <w:t xml:space="preserve">​ ​                                                       </w:t>
      </w:r>
      <w:r>
        <w:rPr>
          <w:sz w:val="1"/>
          <w:szCs w:val="1"/>
          <w:color w:val="auto"/>
        </w:rPr>
        <w:drawing>
          <wp:inline distT="0" distB="0" distL="0" distR="0">
            <wp:extent cx="445770" cy="6858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5770" cy="68580"/>
                    </a:xfrm>
                    <a:prstGeom prst="rect">
                      <a:avLst/>
                    </a:prstGeom>
                    <a:noFill/>
                    <a:ln>
                      <a:noFill/>
                    </a:ln>
                  </pic:spPr>
                </pic:pic>
              </a:graphicData>
            </a:graphic>
          </wp:inline>
        </w:drawing>
      </w:r>
      <w:r>
        <w:rPr>
          <w:rFonts w:ascii="Arial" w:cs="Arial" w:eastAsia="Arial" w:hAnsi="Arial"/>
          <w:sz w:val="13"/>
          <w:szCs w:val="13"/>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7737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87737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6831965" cy="87655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876554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2"/>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3"/>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lowerRoman"/>
      <w:start w:val="2"/>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3"/>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lowerRoman"/>
      <w:start w:val="1"/>
    </w:lvl>
  </w:abstractNum>
  <w:abstractNum w:abstractNumId="41">
    <w:nsid w:val="75C6C33A"/>
    <w:multiLevelType w:val="hybridMultilevel"/>
    <w:lvl w:ilvl="0">
      <w:lvlJc w:val="left"/>
      <w:lvlText w:val="(%1)"/>
      <w:numFmt w:val="lowerRoman"/>
      <w:start w:val="2"/>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2"/>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lowerRoman"/>
      <w:start w:val="3"/>
    </w:lvl>
  </w:abstractNum>
  <w:abstractNum w:abstractNumId="47">
    <w:nsid w:val="23F9C13C"/>
    <w:multiLevelType w:val="hybridMultilevel"/>
    <w:lvl w:ilvl="0">
      <w:lvlJc w:val="left"/>
      <w:lvlText w:val="(%1)"/>
      <w:numFmt w:val="lowerRoman"/>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Letter"/>
      <w:start w:val="5"/>
    </w:lvl>
    <w:lvl w:ilvl="1">
      <w:lvlJc w:val="left"/>
      <w:lvlText w:val="(%2)"/>
      <w:numFmt w:val="lowerRoman"/>
      <w:start w:val="1"/>
    </w:lvl>
  </w:abstractNum>
  <w:abstractNum w:abstractNumId="59">
    <w:nsid w:val="10233C99"/>
    <w:multiLevelType w:val="hybridMultilevel"/>
    <w:lvl w:ilvl="0">
      <w:lvlJc w:val="left"/>
      <w:lvlText w:val="(%1)"/>
      <w:numFmt w:val="lowerLetter"/>
      <w:start w:val="13"/>
    </w:lvl>
    <w:lvl w:ilvl="1">
      <w:lvlJc w:val="left"/>
      <w:lvlText w:val="(%2)"/>
      <w:numFmt w:val="lowerRoman"/>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2026-04-27T07:48:25Z</dcterms:created>
  <dcterms:modified xsi:type="dcterms:W3CDTF">2026-04-27T07:48:25Z</dcterms:modified>
</cp:coreProperties>
</file>