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430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43052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12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Efron Paul</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440 ROUTE 22 EAST,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Keenova Therapeutics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NONE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600" w:hanging="5"/>
        <w:spacing w:after="0" w:line="265"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180" w:space="720"/>
            <w:col w:w="3115" w:space="720"/>
            <w:col w:w="3345"/>
          </w:cols>
          <w:pgMar w:left="460" w:top="216" w:right="359" w:bottom="1121"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BRIDGEWATER NJ</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08807</w:t>
            </w:r>
          </w:p>
        </w:tc>
      </w:tr>
      <w:tr>
        <w:trPr>
          <w:trHeight w:val="151"/>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140"/>
            <w:col w:w="7180"/>
          </w:cols>
          <w:pgMar w:left="460" w:top="216" w:right="359" w:bottom="112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Pr>
          <w:p>
            <w:pPr>
              <w:spacing w:after="0"/>
              <w:rPr>
                <w:sz w:val="22"/>
                <w:szCs w:val="22"/>
                <w:color w:val="auto"/>
              </w:rPr>
            </w:pPr>
          </w:p>
        </w:tc>
        <w:tc>
          <w:tcPr>
            <w:tcW w:w="172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06/02/2026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3,580</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12,045</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Pr>
          <w:p>
            <w:pPr>
              <w:spacing w:after="0"/>
              <w:rPr>
                <w:sz w:val="22"/>
                <w:szCs w:val="22"/>
                <w:color w:val="auto"/>
              </w:rPr>
            </w:pPr>
          </w:p>
        </w:tc>
        <w:tc>
          <w:tcPr>
            <w:tcW w:w="172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06/02/2026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Pr>
          <w:p>
            <w:pPr>
              <w:spacing w:after="0"/>
              <w:rPr>
                <w:sz w:val="22"/>
                <w:szCs w:val="22"/>
                <w:color w:val="auto"/>
              </w:rPr>
            </w:pP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825</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right"/>
              <w:ind w:right="17"/>
              <w:spacing w:after="0"/>
              <w:rPr>
                <w:sz w:val="20"/>
                <w:szCs w:val="20"/>
                <w:color w:val="auto"/>
              </w:rPr>
            </w:pPr>
            <w:r>
              <w:rPr>
                <w:rFonts w:ascii="Times New Roman" w:cs="Times New Roman" w:eastAsia="Times New Roman" w:hAnsi="Times New Roman"/>
                <w:sz w:val="11"/>
                <w:szCs w:val="11"/>
                <w:color w:val="008000"/>
              </w:rPr>
              <w:t>(2)</w:t>
            </w:r>
          </w:p>
        </w:tc>
        <w:tc>
          <w:tcPr>
            <w:tcW w:w="40" w:type="dxa"/>
            <w:vAlign w:val="bottom"/>
          </w:tcPr>
          <w:p>
            <w:pPr>
              <w:spacing w:after="0"/>
              <w:rPr>
                <w:sz w:val="22"/>
                <w:szCs w:val="22"/>
                <w:color w:val="auto"/>
              </w:rPr>
            </w:pP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11,220</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jc w:val="right"/>
              <w:ind w:right="1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2,930</w:t>
            </w:r>
          </w:p>
        </w:tc>
        <w:tc>
          <w:tcPr>
            <w:tcW w:w="40" w:type="dxa"/>
            <w:vAlign w:val="bottom"/>
          </w:tcPr>
          <w:p>
            <w:pPr>
              <w:spacing w:after="0"/>
              <w:rPr>
                <w:sz w:val="15"/>
                <w:szCs w:val="15"/>
                <w:color w:val="auto"/>
              </w:rPr>
            </w:pPr>
          </w:p>
        </w:tc>
        <w:tc>
          <w:tcPr>
            <w:tcW w:w="72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1"/>
                <w:szCs w:val="11"/>
                <w:color w:val="008000"/>
              </w:rPr>
              <w:t>(5)</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195"/>
              <w:spacing w:after="0" w:line="143" w:lineRule="exact"/>
              <w:rPr>
                <w:sz w:val="20"/>
                <w:szCs w:val="20"/>
                <w:color w:val="auto"/>
              </w:rPr>
            </w:pPr>
            <w:r>
              <w:rPr>
                <w:rFonts w:ascii="Times New Roman" w:cs="Times New Roman" w:eastAsia="Times New Roman" w:hAnsi="Times New Roman"/>
                <w:sz w:val="13"/>
                <w:szCs w:val="13"/>
                <w:color w:val="0000FF"/>
              </w:rPr>
              <w:t>06/02/2026</w:t>
            </w:r>
          </w:p>
        </w:tc>
        <w:tc>
          <w:tcPr>
            <w:tcW w:w="1080" w:type="dxa"/>
            <w:vAlign w:val="bottom"/>
          </w:tcPr>
          <w:p>
            <w:pPr>
              <w:spacing w:after="0"/>
              <w:rPr>
                <w:sz w:val="5"/>
                <w:szCs w:val="5"/>
                <w:color w:val="auto"/>
              </w:rPr>
            </w:pPr>
          </w:p>
        </w:tc>
        <w:tc>
          <w:tcPr>
            <w:tcW w:w="64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2,930</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7,564</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3,580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195"/>
              <w:spacing w:after="0" w:line="143" w:lineRule="exact"/>
              <w:rPr>
                <w:sz w:val="20"/>
                <w:szCs w:val="20"/>
                <w:color w:val="auto"/>
              </w:rPr>
            </w:pPr>
            <w:r>
              <w:rPr>
                <w:rFonts w:ascii="Times New Roman" w:cs="Times New Roman" w:eastAsia="Times New Roman" w:hAnsi="Times New Roman"/>
                <w:sz w:val="13"/>
                <w:szCs w:val="13"/>
                <w:color w:val="0000FF"/>
              </w:rPr>
              <w:t>06/02/2026</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3,580</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jc w:val="center"/>
              <w:ind w:right="181"/>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3,984</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-2466340</wp:posOffset>
            </wp:positionV>
            <wp:extent cx="29210" cy="2471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714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that was settled, was settled in ordinary shares of the Issuer at one share per RSU.</w:t>
      </w:r>
    </w:p>
    <w:p>
      <w:pPr>
        <w:spacing w:after="0" w:line="4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ordinary shares withheld to satisfy tax withholding obligations arising out the vesting of RSUs is based on a percentage and did not take into account any market value as the Issuer's ordinary shares are not listed or quoted on a recognized trading market.</w:t>
      </w:r>
    </w:p>
    <w:p>
      <w:pPr>
        <w:spacing w:after="0" w:line="1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entered into an agreement with the Issuer pursuant to which the Reporting Person forfeited the right to receive 2,930 RSUs that would otherwise have vested in exchange for a payment from the Issuer to facilitate the Reporting Person's ability to satisfy certain tax obligations related to the RSUs scheduled to vest.</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which were granted on August 14, 2025, vest on the earlier of (i) the first anniversary of the grant date and (ii) the date of the Issuer's next annual general meeting of shareholders.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RSUs forfeited is based on a percentage.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Form 4 constitutes a notice to the Issuer for purposes of Part V of the Companies Act 2014.</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Mark Tyndall,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06/04/2026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1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4711" TargetMode="External"/><Relationship Id="rId14" Type="http://schemas.openxmlformats.org/officeDocument/2006/relationships/hyperlink" Target="http://www.sec.gov/cgi-bin/browse-edgar?action=getcompany&amp;CIK=00015678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2026-06-04T15:21:36Z</dcterms:created>
  <dcterms:modified xsi:type="dcterms:W3CDTF">2026-06-04T15:21:36Z</dcterms:modified>
</cp:coreProperties>
</file>