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of the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June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Keenova Therapeutics plc</w:t>
      </w:r>
    </w:p>
    <w:p>
      <w:pPr>
        <w:spacing w:after="0" w:line="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3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486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001-35803</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98-1088325</w:t>
            </w:r>
          </w:p>
        </w:tc>
      </w:tr>
      <w:tr>
        <w:trPr>
          <w:trHeight w:val="216"/>
        </w:trPr>
        <w:tc>
          <w:tcPr>
            <w:tcW w:w="23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40" w:type="dxa"/>
            <w:vAlign w:val="bottom"/>
          </w:tcPr>
          <w:p>
            <w:pPr>
              <w:spacing w:after="0"/>
              <w:rPr>
                <w:sz w:val="24"/>
                <w:szCs w:val="24"/>
                <w:color w:val="auto"/>
              </w:rPr>
            </w:pPr>
          </w:p>
        </w:tc>
        <w:tc>
          <w:tcPr>
            <w:tcW w:w="4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College Business &amp; Technology Park, Cruiserath,</w:t>
            </w:r>
          </w:p>
        </w:tc>
        <w:tc>
          <w:tcPr>
            <w:tcW w:w="1940" w:type="dxa"/>
            <w:vAlign w:val="bottom"/>
          </w:tcPr>
          <w:p>
            <w:pPr>
              <w:spacing w:after="0"/>
              <w:rPr>
                <w:sz w:val="24"/>
                <w:szCs w:val="24"/>
                <w:color w:val="auto"/>
              </w:rPr>
            </w:pPr>
          </w:p>
        </w:tc>
      </w:tr>
      <w:tr>
        <w:trPr>
          <w:trHeight w:val="220"/>
        </w:trPr>
        <w:tc>
          <w:tcPr>
            <w:tcW w:w="2340" w:type="dxa"/>
            <w:vAlign w:val="bottom"/>
          </w:tcPr>
          <w:p>
            <w:pPr>
              <w:spacing w:after="0"/>
              <w:rPr>
                <w:sz w:val="19"/>
                <w:szCs w:val="19"/>
                <w:color w:val="auto"/>
              </w:rPr>
            </w:pPr>
          </w:p>
        </w:tc>
        <w:tc>
          <w:tcPr>
            <w:tcW w:w="4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Blanchardstown, Dublin 15, Ireland</w:t>
            </w:r>
          </w:p>
        </w:tc>
        <w:tc>
          <w:tcPr>
            <w:tcW w:w="1940" w:type="dxa"/>
            <w:vAlign w:val="bottom"/>
          </w:tcPr>
          <w:p>
            <w:pPr>
              <w:spacing w:after="0"/>
              <w:rPr>
                <w:sz w:val="19"/>
                <w:szCs w:val="19"/>
                <w:color w:val="auto"/>
              </w:rPr>
            </w:pPr>
          </w:p>
        </w:tc>
      </w:tr>
      <w:tr>
        <w:trPr>
          <w:trHeight w:val="234"/>
        </w:trPr>
        <w:tc>
          <w:tcPr>
            <w:tcW w:w="2340" w:type="dxa"/>
            <w:vAlign w:val="bottom"/>
          </w:tcPr>
          <w:p>
            <w:pPr>
              <w:spacing w:after="0"/>
              <w:rPr>
                <w:sz w:val="20"/>
                <w:szCs w:val="20"/>
                <w:color w:val="auto"/>
              </w:rPr>
            </w:pPr>
          </w:p>
        </w:tc>
        <w:tc>
          <w:tcPr>
            <w:tcW w:w="4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40" w:type="dxa"/>
            <w:vAlign w:val="bottom"/>
          </w:tcPr>
          <w:p>
            <w:pPr>
              <w:spacing w:after="0"/>
              <w:rPr>
                <w:sz w:val="20"/>
                <w:szCs w:val="20"/>
                <w:color w:val="auto"/>
              </w:rPr>
            </w:pPr>
          </w:p>
        </w:tc>
      </w:tr>
      <w:tr>
        <w:trPr>
          <w:trHeight w:val="414"/>
        </w:trPr>
        <w:tc>
          <w:tcPr>
            <w:tcW w:w="2340" w:type="dxa"/>
            <w:vAlign w:val="bottom"/>
          </w:tcPr>
          <w:p>
            <w:pPr>
              <w:spacing w:after="0"/>
              <w:rPr>
                <w:sz w:val="24"/>
                <w:szCs w:val="24"/>
                <w:color w:val="auto"/>
              </w:rPr>
            </w:pPr>
          </w:p>
        </w:tc>
        <w:tc>
          <w:tcPr>
            <w:tcW w:w="4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+353 1 696 0000</w:t>
            </w:r>
          </w:p>
        </w:tc>
        <w:tc>
          <w:tcPr>
            <w:tcW w:w="194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4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18" w:right="4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13, 2026, Keenova Therapeutics plc (“Keenova”) entered into a purchase agreement with Par Health, Inc. (the “Purchaser”), pursuant to which Keenova has agreed to sell its Percocet and Endocet businesses (the “Business”) to Purchaser. Consideration for the transaction is expected to total approximately $250 million consisting of an upfront purchase price of $25 million, subject to customary adjustments for cash, debt and working capital, and quarterly earnout payments payable in cash, related to the gross profit of the Business over a period of five years following the closing of the transaction. The transaction is expected to close in the third quarter of 2026, subject to satisfaction of customary closing conditions, including the expiration or termination of the waiting period under the Hart-Scott-Rodino Act. Following closing of the transaction and completion of related obligations, Keenova will no longer market, manufacture or distribute opioid products.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1560" w:hanging="256"/>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Current Report on Form 8-K includes “forward-looking statements” within the meaning of the “safe harbor” provisions of the United States Private Securities Litigation Reform Act of 1995. Forward-looking statements may be identified by the use of words such as “continue,” “guidance,” “expect,” “outlook,” “project,” “believe” or other similar expressions that predict or indicate future events or trends or that are not statements of historical matters. Forward looking statements in this Current Report include statements regarding the expected timing for the closing of the transaction and the expected total consideration. These statements are based on various assumptions, whether or not identified in this communication, and on current expectations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may differ from assumptions. Many actual events and circumstances are beyond the control of Keenova. These forward-looking statements are subject to a number of risks and uncertainties, including the timing, receipt and terms and conditions of any required governmental and regulatory approvals of the proposed transaction that could delay the consummation of the proposed transaction; the occurrence of any event, change or other circumstances that could give rise to the termination of the purchase agreement entered into in connection with the proposed transaction; the risk that the parties to the purchase agreement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value of Keenova’s ordinary shares; the risk of any unexpected costs or expenses resulting from the proposed transaction; the performance of the Business and its ability to generate gross profits following the closing of the transaction and other risks and uncertainties affecting Keenova, including those described from time to time under the caption “Risk Factors” and elsewhere in Keenova’s Securities and Exchange (“SEC”) filings and reports, including Keenova’s Annual Report on Form 10-K for the fiscal year ended December 31, 2025 filed with the SEC on April 15, 2026. These filings, when available, are available on the investor relations section of the Keenova website at </w:t>
      </w:r>
      <w:r>
        <w:rPr>
          <w:rFonts w:ascii="Times New Roman" w:cs="Times New Roman" w:eastAsia="Times New Roman" w:hAnsi="Times New Roman"/>
          <w:sz w:val="18"/>
          <w:szCs w:val="18"/>
          <w:u w:val="single" w:color="auto"/>
          <w:color w:val="auto"/>
        </w:rPr>
        <w:t>https://investor.keenova.com/</w:t>
      </w:r>
      <w:r>
        <w:rPr>
          <w:rFonts w:ascii="Times New Roman" w:cs="Times New Roman" w:eastAsia="Times New Roman" w:hAnsi="Times New Roman"/>
          <w:sz w:val="18"/>
          <w:szCs w:val="18"/>
          <w:color w:val="auto"/>
        </w:rPr>
        <w:t xml:space="preserve"> or on the SEC’s website at https://www.sec.gov. If any of these risks materialize or any of these assumptions prove incorrect, actual results could differ materially from the results implied by these forward-looking statements. There may be additional risks that Keenova presently does not know of or that Keenova currently believes are immaterial that could also cause actual results to differ from those contained in the forward-looking statements. The forward-looking statements included in this current report are made only as of the date hereof. Keenova assumes no obligation and does not intend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KEENOVA THERAPEUTICS PLC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Tyndall</w:t>
            </w:r>
          </w:p>
        </w:tc>
      </w:tr>
      <w:tr>
        <w:trPr>
          <w:trHeight w:val="189"/>
        </w:trPr>
        <w:tc>
          <w:tcPr>
            <w:tcW w:w="3560" w:type="dxa"/>
            <w:vAlign w:val="bottom"/>
          </w:tcPr>
          <w:p>
            <w:pPr>
              <w:spacing w:after="0"/>
              <w:rPr>
                <w:sz w:val="16"/>
                <w:szCs w:val="16"/>
                <w:color w:val="auto"/>
              </w:rPr>
            </w:pPr>
          </w:p>
        </w:tc>
        <w:tc>
          <w:tcPr>
            <w:tcW w:w="2640" w:type="dxa"/>
            <w:vAlign w:val="bottom"/>
          </w:tcPr>
          <w:p>
            <w:pPr>
              <w:ind w:left="20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 Tyndall</w:t>
            </w:r>
          </w:p>
        </w:tc>
      </w:tr>
      <w:tr>
        <w:trPr>
          <w:trHeight w:val="236"/>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Legal Officer &amp; Corporate Secretary</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2026-06-15T07:04:12Z</dcterms:created>
  <dcterms:modified xsi:type="dcterms:W3CDTF">2026-06-15T07:04:12Z</dcterms:modified>
</cp:coreProperties>
</file>